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43051" w14:textId="77777777" w:rsidR="00476753" w:rsidRPr="00476753" w:rsidRDefault="00476753" w:rsidP="00476753">
      <w:pPr>
        <w:jc w:val="both"/>
        <w:rPr>
          <w:rFonts w:ascii="Calibri" w:hAnsi="Calibri" w:cs="Calibri"/>
          <w:b/>
          <w:bCs/>
          <w:sz w:val="24"/>
          <w:szCs w:val="24"/>
        </w:rPr>
      </w:pPr>
      <w:r w:rsidRPr="00476753">
        <w:rPr>
          <w:rFonts w:ascii="Calibri" w:hAnsi="Calibri" w:cs="Calibri"/>
          <w:b/>
          <w:bCs/>
          <w:sz w:val="24"/>
          <w:szCs w:val="24"/>
        </w:rPr>
        <w:t>The Turkish Competition Authority concludes its investigation into an online marketplace, accepting commitments to remedy the platform’s automatic abusive pricing mechanism </w:t>
      </w:r>
      <w:r w:rsidRPr="00476753">
        <w:rPr>
          <w:rFonts w:ascii="Calibri" w:hAnsi="Calibri" w:cs="Calibri"/>
          <w:b/>
          <w:bCs/>
          <w:i/>
          <w:iCs/>
          <w:sz w:val="24"/>
          <w:szCs w:val="24"/>
        </w:rPr>
        <w:t>(</w:t>
      </w:r>
      <w:proofErr w:type="spellStart"/>
      <w:r w:rsidRPr="00476753">
        <w:rPr>
          <w:rFonts w:ascii="Calibri" w:hAnsi="Calibri" w:cs="Calibri"/>
          <w:b/>
          <w:bCs/>
          <w:i/>
          <w:iCs/>
          <w:sz w:val="24"/>
          <w:szCs w:val="24"/>
        </w:rPr>
        <w:t>Trendyol</w:t>
      </w:r>
      <w:proofErr w:type="spellEnd"/>
      <w:r w:rsidRPr="00476753">
        <w:rPr>
          <w:rFonts w:ascii="Calibri" w:hAnsi="Calibri" w:cs="Calibri"/>
          <w:b/>
          <w:bCs/>
          <w:i/>
          <w:iCs/>
          <w:sz w:val="24"/>
          <w:szCs w:val="24"/>
        </w:rPr>
        <w:t>)</w:t>
      </w:r>
    </w:p>
    <w:p w14:paraId="6DEC63B5" w14:textId="106A4E03" w:rsidR="00476753" w:rsidRPr="00476753" w:rsidRDefault="00476753" w:rsidP="00476753">
      <w:pPr>
        <w:jc w:val="both"/>
        <w:rPr>
          <w:rFonts w:ascii="Calibri" w:hAnsi="Calibri" w:cs="Calibri"/>
          <w:sz w:val="24"/>
          <w:szCs w:val="24"/>
        </w:rPr>
      </w:pPr>
      <w:r w:rsidRPr="00476753">
        <w:rPr>
          <w:rFonts w:ascii="Calibri" w:hAnsi="Calibri" w:cs="Calibri"/>
          <w:sz w:val="24"/>
          <w:szCs w:val="24"/>
        </w:rPr>
        <w:t>The Turkish Competition Authority (“</w:t>
      </w:r>
      <w:r w:rsidRPr="00476753">
        <w:rPr>
          <w:rFonts w:ascii="Calibri" w:hAnsi="Calibri" w:cs="Calibri"/>
          <w:b/>
          <w:bCs/>
          <w:sz w:val="24"/>
          <w:szCs w:val="24"/>
        </w:rPr>
        <w:t>TCA</w:t>
      </w:r>
      <w:r w:rsidRPr="00476753">
        <w:rPr>
          <w:rFonts w:ascii="Calibri" w:hAnsi="Calibri" w:cs="Calibri"/>
          <w:sz w:val="24"/>
          <w:szCs w:val="24"/>
        </w:rPr>
        <w:t>”) announced [</w:t>
      </w:r>
      <w:hyperlink r:id="rId7" w:anchor="nb1" w:tooltip="." w:history="1">
        <w:r w:rsidRPr="00476753">
          <w:rPr>
            <w:rStyle w:val="Kpr"/>
            <w:rFonts w:ascii="Calibri" w:hAnsi="Calibri" w:cs="Calibri"/>
            <w:b/>
            <w:bCs/>
            <w:sz w:val="24"/>
            <w:szCs w:val="24"/>
          </w:rPr>
          <w:t>1</w:t>
        </w:r>
      </w:hyperlink>
      <w:r w:rsidRPr="00476753">
        <w:rPr>
          <w:rFonts w:ascii="Calibri" w:hAnsi="Calibri" w:cs="Calibri"/>
          <w:sz w:val="24"/>
          <w:szCs w:val="24"/>
        </w:rPr>
        <w:t xml:space="preserve">] that it concluded with commitments the investigation launched in October 2023 into the allegations that the automatic pricing mechanism offered by DSM </w:t>
      </w:r>
      <w:proofErr w:type="spellStart"/>
      <w:r w:rsidRPr="00476753">
        <w:rPr>
          <w:rFonts w:ascii="Calibri" w:hAnsi="Calibri" w:cs="Calibri"/>
          <w:sz w:val="24"/>
          <w:szCs w:val="24"/>
        </w:rPr>
        <w:t>Grup</w:t>
      </w:r>
      <w:proofErr w:type="spellEnd"/>
      <w:r w:rsidRPr="00476753">
        <w:rPr>
          <w:rFonts w:ascii="Calibri" w:hAnsi="Calibri" w:cs="Calibri"/>
          <w:sz w:val="24"/>
          <w:szCs w:val="24"/>
        </w:rPr>
        <w:t xml:space="preserve"> Danışmanlık </w:t>
      </w:r>
      <w:proofErr w:type="spellStart"/>
      <w:r w:rsidRPr="00476753">
        <w:rPr>
          <w:rFonts w:ascii="Calibri" w:hAnsi="Calibri" w:cs="Calibri"/>
          <w:sz w:val="24"/>
          <w:szCs w:val="24"/>
        </w:rPr>
        <w:t>İletişim</w:t>
      </w:r>
      <w:proofErr w:type="spellEnd"/>
      <w:r w:rsidRPr="00476753">
        <w:rPr>
          <w:rFonts w:ascii="Calibri" w:hAnsi="Calibri" w:cs="Calibri"/>
          <w:sz w:val="24"/>
          <w:szCs w:val="24"/>
        </w:rPr>
        <w:t xml:space="preserve"> ve </w:t>
      </w:r>
      <w:proofErr w:type="spellStart"/>
      <w:r w:rsidRPr="00476753">
        <w:rPr>
          <w:rFonts w:ascii="Calibri" w:hAnsi="Calibri" w:cs="Calibri"/>
          <w:sz w:val="24"/>
          <w:szCs w:val="24"/>
        </w:rPr>
        <w:t>Satış</w:t>
      </w:r>
      <w:proofErr w:type="spellEnd"/>
      <w:r w:rsidRPr="00476753">
        <w:rPr>
          <w:rFonts w:ascii="Calibri" w:hAnsi="Calibri" w:cs="Calibri"/>
          <w:sz w:val="24"/>
          <w:szCs w:val="24"/>
        </w:rPr>
        <w:t xml:space="preserve"> Ticaret AŞ (“</w:t>
      </w:r>
      <w:proofErr w:type="spellStart"/>
      <w:r w:rsidRPr="00476753">
        <w:rPr>
          <w:rFonts w:ascii="Calibri" w:hAnsi="Calibri" w:cs="Calibri"/>
          <w:b/>
          <w:bCs/>
          <w:sz w:val="24"/>
          <w:szCs w:val="24"/>
        </w:rPr>
        <w:t>Trendyol</w:t>
      </w:r>
      <w:proofErr w:type="spellEnd"/>
      <w:r w:rsidRPr="00476753">
        <w:rPr>
          <w:rFonts w:ascii="Calibri" w:hAnsi="Calibri" w:cs="Calibri"/>
          <w:sz w:val="24"/>
          <w:szCs w:val="24"/>
        </w:rPr>
        <w:t>”) in the multi-category e-marketplace market violated the provisions of the Law No. 4054 on the Protection of Competition (“</w:t>
      </w:r>
      <w:r w:rsidRPr="00476753">
        <w:rPr>
          <w:rFonts w:ascii="Calibri" w:hAnsi="Calibri" w:cs="Calibri"/>
          <w:b/>
          <w:bCs/>
          <w:sz w:val="24"/>
          <w:szCs w:val="24"/>
        </w:rPr>
        <w:t>Competition Law</w:t>
      </w:r>
      <w:r w:rsidRPr="00476753">
        <w:rPr>
          <w:rFonts w:ascii="Calibri" w:hAnsi="Calibri" w:cs="Calibri"/>
          <w:sz w:val="24"/>
          <w:szCs w:val="24"/>
        </w:rPr>
        <w:t>”).</w:t>
      </w:r>
    </w:p>
    <w:p w14:paraId="20BA01E7" w14:textId="77777777" w:rsidR="00476753" w:rsidRPr="00476753" w:rsidRDefault="00476753" w:rsidP="00476753">
      <w:pPr>
        <w:jc w:val="both"/>
        <w:rPr>
          <w:rFonts w:ascii="Calibri" w:hAnsi="Calibri" w:cs="Calibri"/>
          <w:sz w:val="24"/>
          <w:szCs w:val="24"/>
        </w:rPr>
      </w:pPr>
      <w:r w:rsidRPr="00476753">
        <w:rPr>
          <w:rFonts w:ascii="Calibri" w:hAnsi="Calibri" w:cs="Calibri"/>
          <w:sz w:val="24"/>
          <w:szCs w:val="24"/>
        </w:rPr>
        <w:t xml:space="preserve">The commitments proposed by </w:t>
      </w:r>
      <w:proofErr w:type="spellStart"/>
      <w:r w:rsidRPr="00476753">
        <w:rPr>
          <w:rFonts w:ascii="Calibri" w:hAnsi="Calibri" w:cs="Calibri"/>
          <w:sz w:val="24"/>
          <w:szCs w:val="24"/>
        </w:rPr>
        <w:t>Trendyol</w:t>
      </w:r>
      <w:proofErr w:type="spellEnd"/>
      <w:r w:rsidRPr="00476753">
        <w:rPr>
          <w:rFonts w:ascii="Calibri" w:hAnsi="Calibri" w:cs="Calibri"/>
          <w:sz w:val="24"/>
          <w:szCs w:val="24"/>
        </w:rPr>
        <w:t xml:space="preserve"> provided a constructive resolution to these issues, ensuring that the automatic pricing mechanism would not hinder competition or result in any anticompetitive outcomes. By removing the “</w:t>
      </w:r>
      <w:r w:rsidRPr="00476753">
        <w:rPr>
          <w:rFonts w:ascii="Calibri" w:hAnsi="Calibri" w:cs="Calibri"/>
          <w:i/>
          <w:iCs/>
          <w:sz w:val="24"/>
          <w:szCs w:val="24"/>
        </w:rPr>
        <w:t xml:space="preserve">Match the </w:t>
      </w:r>
      <w:proofErr w:type="spellStart"/>
      <w:r w:rsidRPr="00476753">
        <w:rPr>
          <w:rFonts w:ascii="Calibri" w:hAnsi="Calibri" w:cs="Calibri"/>
          <w:i/>
          <w:iCs/>
          <w:sz w:val="24"/>
          <w:szCs w:val="24"/>
        </w:rPr>
        <w:t>Buybox</w:t>
      </w:r>
      <w:proofErr w:type="spellEnd"/>
      <w:r w:rsidRPr="00476753">
        <w:rPr>
          <w:rFonts w:ascii="Calibri" w:hAnsi="Calibri" w:cs="Calibri"/>
          <w:i/>
          <w:iCs/>
          <w:sz w:val="24"/>
          <w:szCs w:val="24"/>
        </w:rPr>
        <w:t xml:space="preserve"> Price</w:t>
      </w:r>
      <w:r w:rsidRPr="00476753">
        <w:rPr>
          <w:rFonts w:ascii="Calibri" w:hAnsi="Calibri" w:cs="Calibri"/>
          <w:sz w:val="24"/>
          <w:szCs w:val="24"/>
        </w:rPr>
        <w:t xml:space="preserve">” option, refraining from </w:t>
      </w:r>
      <w:proofErr w:type="spellStart"/>
      <w:r w:rsidRPr="00476753">
        <w:rPr>
          <w:rFonts w:ascii="Calibri" w:hAnsi="Calibri" w:cs="Calibri"/>
          <w:sz w:val="24"/>
          <w:szCs w:val="24"/>
        </w:rPr>
        <w:t>incentivising</w:t>
      </w:r>
      <w:proofErr w:type="spellEnd"/>
      <w:r w:rsidRPr="00476753">
        <w:rPr>
          <w:rFonts w:ascii="Calibri" w:hAnsi="Calibri" w:cs="Calibri"/>
          <w:sz w:val="24"/>
          <w:szCs w:val="24"/>
        </w:rPr>
        <w:t xml:space="preserve"> sellers to use the system, and implementing measures to maintain price variation, </w:t>
      </w:r>
      <w:proofErr w:type="spellStart"/>
      <w:r w:rsidRPr="00476753">
        <w:rPr>
          <w:rFonts w:ascii="Calibri" w:hAnsi="Calibri" w:cs="Calibri"/>
          <w:sz w:val="24"/>
          <w:szCs w:val="24"/>
        </w:rPr>
        <w:t>Trendyol</w:t>
      </w:r>
      <w:proofErr w:type="spellEnd"/>
      <w:r w:rsidRPr="00476753">
        <w:rPr>
          <w:rFonts w:ascii="Calibri" w:hAnsi="Calibri" w:cs="Calibri"/>
          <w:sz w:val="24"/>
          <w:szCs w:val="24"/>
        </w:rPr>
        <w:t xml:space="preserve"> has committed to fostering a more competitive and transparent marketplace.</w:t>
      </w:r>
    </w:p>
    <w:p w14:paraId="1AE7CB2B" w14:textId="77777777" w:rsidR="00476753" w:rsidRPr="00476753" w:rsidRDefault="00476753" w:rsidP="00476753">
      <w:pPr>
        <w:jc w:val="both"/>
        <w:rPr>
          <w:rFonts w:ascii="Calibri" w:hAnsi="Calibri" w:cs="Calibri"/>
          <w:sz w:val="24"/>
          <w:szCs w:val="24"/>
        </w:rPr>
      </w:pPr>
      <w:r w:rsidRPr="00476753">
        <w:rPr>
          <w:rFonts w:ascii="Calibri" w:hAnsi="Calibri" w:cs="Calibri"/>
          <w:sz w:val="24"/>
          <w:szCs w:val="24"/>
        </w:rPr>
        <w:t xml:space="preserve">Additionally, the company’s efforts to educate its staff on competition law and ensure ongoing compliance through reporting to the TCA </w:t>
      </w:r>
      <w:proofErr w:type="gramStart"/>
      <w:r w:rsidRPr="00476753">
        <w:rPr>
          <w:rFonts w:ascii="Calibri" w:hAnsi="Calibri" w:cs="Calibri"/>
          <w:sz w:val="24"/>
          <w:szCs w:val="24"/>
        </w:rPr>
        <w:t>demonstrate</w:t>
      </w:r>
      <w:proofErr w:type="gramEnd"/>
      <w:r w:rsidRPr="00476753">
        <w:rPr>
          <w:rFonts w:ascii="Calibri" w:hAnsi="Calibri" w:cs="Calibri"/>
          <w:sz w:val="24"/>
          <w:szCs w:val="24"/>
        </w:rPr>
        <w:t xml:space="preserve"> a proactive approach to addressing regulatory concerns.</w:t>
      </w:r>
    </w:p>
    <w:p w14:paraId="4969F8B4" w14:textId="77777777" w:rsidR="00476753" w:rsidRPr="00476753" w:rsidRDefault="00476753" w:rsidP="00476753">
      <w:pPr>
        <w:jc w:val="both"/>
        <w:rPr>
          <w:rFonts w:ascii="Calibri" w:hAnsi="Calibri" w:cs="Calibri"/>
          <w:sz w:val="24"/>
          <w:szCs w:val="24"/>
        </w:rPr>
      </w:pPr>
      <w:r w:rsidRPr="00476753">
        <w:rPr>
          <w:rFonts w:ascii="Calibri" w:hAnsi="Calibri" w:cs="Calibri"/>
          <w:sz w:val="24"/>
          <w:szCs w:val="24"/>
        </w:rPr>
        <w:t>This case not only underscores the importance of maintaining fair competition in the digital economy but also exemplifies how regulatory frameworks can adapt to address the unique challenges posed by online platforms and automated pricing systems.</w:t>
      </w:r>
    </w:p>
    <w:p w14:paraId="0176E132" w14:textId="77777777" w:rsidR="00476753" w:rsidRPr="00476753" w:rsidRDefault="00476753" w:rsidP="00476753">
      <w:pPr>
        <w:jc w:val="both"/>
        <w:rPr>
          <w:rFonts w:ascii="Calibri" w:hAnsi="Calibri" w:cs="Calibri"/>
          <w:b/>
          <w:bCs/>
          <w:sz w:val="24"/>
          <w:szCs w:val="24"/>
        </w:rPr>
      </w:pPr>
      <w:r w:rsidRPr="00476753">
        <w:rPr>
          <w:rFonts w:ascii="Calibri" w:hAnsi="Calibri" w:cs="Calibri"/>
          <w:b/>
          <w:bCs/>
          <w:sz w:val="24"/>
          <w:szCs w:val="24"/>
        </w:rPr>
        <w:t>The Practice</w:t>
      </w:r>
    </w:p>
    <w:p w14:paraId="48A9D96F" w14:textId="77777777" w:rsidR="00476753" w:rsidRPr="00476753" w:rsidRDefault="00476753" w:rsidP="00476753">
      <w:pPr>
        <w:jc w:val="both"/>
        <w:rPr>
          <w:rFonts w:ascii="Calibri" w:hAnsi="Calibri" w:cs="Calibri"/>
          <w:sz w:val="24"/>
          <w:szCs w:val="24"/>
        </w:rPr>
      </w:pPr>
      <w:r w:rsidRPr="00476753">
        <w:rPr>
          <w:rFonts w:ascii="Calibri" w:hAnsi="Calibri" w:cs="Calibri"/>
          <w:b/>
          <w:bCs/>
          <w:sz w:val="24"/>
          <w:szCs w:val="24"/>
        </w:rPr>
        <w:t xml:space="preserve">The </w:t>
      </w:r>
      <w:proofErr w:type="spellStart"/>
      <w:r w:rsidRPr="00476753">
        <w:rPr>
          <w:rFonts w:ascii="Calibri" w:hAnsi="Calibri" w:cs="Calibri"/>
          <w:b/>
          <w:bCs/>
          <w:sz w:val="24"/>
          <w:szCs w:val="24"/>
        </w:rPr>
        <w:t>Buybox</w:t>
      </w:r>
      <w:proofErr w:type="spellEnd"/>
      <w:r w:rsidRPr="00476753">
        <w:rPr>
          <w:rFonts w:ascii="Calibri" w:hAnsi="Calibri" w:cs="Calibri"/>
          <w:b/>
          <w:bCs/>
          <w:sz w:val="24"/>
          <w:szCs w:val="24"/>
        </w:rPr>
        <w:t xml:space="preserve"> System</w:t>
      </w:r>
    </w:p>
    <w:p w14:paraId="37075FDA" w14:textId="77777777" w:rsidR="00476753" w:rsidRPr="00476753" w:rsidRDefault="00476753" w:rsidP="00476753">
      <w:pPr>
        <w:jc w:val="both"/>
        <w:rPr>
          <w:rFonts w:ascii="Calibri" w:hAnsi="Calibri" w:cs="Calibri"/>
          <w:sz w:val="24"/>
          <w:szCs w:val="24"/>
        </w:rPr>
      </w:pPr>
      <w:r w:rsidRPr="00476753">
        <w:rPr>
          <w:rFonts w:ascii="Calibri" w:hAnsi="Calibri" w:cs="Calibri"/>
          <w:sz w:val="24"/>
          <w:szCs w:val="24"/>
        </w:rPr>
        <w:t xml:space="preserve">In late 2021, </w:t>
      </w:r>
      <w:proofErr w:type="spellStart"/>
      <w:r w:rsidRPr="00476753">
        <w:rPr>
          <w:rFonts w:ascii="Calibri" w:hAnsi="Calibri" w:cs="Calibri"/>
          <w:sz w:val="24"/>
          <w:szCs w:val="24"/>
        </w:rPr>
        <w:t>Trendyol</w:t>
      </w:r>
      <w:proofErr w:type="spellEnd"/>
      <w:r w:rsidRPr="00476753">
        <w:rPr>
          <w:rFonts w:ascii="Calibri" w:hAnsi="Calibri" w:cs="Calibri"/>
          <w:sz w:val="24"/>
          <w:szCs w:val="24"/>
        </w:rPr>
        <w:t xml:space="preserve"> introduced an automatic pricing mechanism designed to automate rivalry among sellers vying for the </w:t>
      </w:r>
      <w:proofErr w:type="spellStart"/>
      <w:r w:rsidRPr="00476753">
        <w:rPr>
          <w:rFonts w:ascii="Calibri" w:hAnsi="Calibri" w:cs="Calibri"/>
          <w:i/>
          <w:iCs/>
          <w:sz w:val="24"/>
          <w:szCs w:val="24"/>
        </w:rPr>
        <w:t>buybox</w:t>
      </w:r>
      <w:proofErr w:type="spellEnd"/>
      <w:r w:rsidRPr="00476753">
        <w:rPr>
          <w:rFonts w:ascii="Calibri" w:hAnsi="Calibri" w:cs="Calibri"/>
          <w:sz w:val="24"/>
          <w:szCs w:val="24"/>
        </w:rPr>
        <w:t>. In e-marketplaces, where thousands of sellers often offer the same product, it is common for multiple sellers to compete to sell the same items. To streamline the shopping experience and avoid overwhelming users with extensive lists of sellers for the same product, marketplaces have implemented the </w:t>
      </w:r>
      <w:proofErr w:type="spellStart"/>
      <w:r w:rsidRPr="00476753">
        <w:rPr>
          <w:rFonts w:ascii="Calibri" w:hAnsi="Calibri" w:cs="Calibri"/>
          <w:i/>
          <w:iCs/>
          <w:sz w:val="24"/>
          <w:szCs w:val="24"/>
        </w:rPr>
        <w:t>buybox</w:t>
      </w:r>
      <w:proofErr w:type="spellEnd"/>
      <w:r w:rsidRPr="00476753">
        <w:rPr>
          <w:rFonts w:ascii="Calibri" w:hAnsi="Calibri" w:cs="Calibri"/>
          <w:sz w:val="24"/>
          <w:szCs w:val="24"/>
        </w:rPr>
        <w:t> system.</w:t>
      </w:r>
    </w:p>
    <w:p w14:paraId="30F4FC0C" w14:textId="77777777" w:rsidR="00476753" w:rsidRPr="00476753" w:rsidRDefault="00476753" w:rsidP="00476753">
      <w:pPr>
        <w:jc w:val="both"/>
        <w:rPr>
          <w:rFonts w:ascii="Calibri" w:hAnsi="Calibri" w:cs="Calibri"/>
          <w:sz w:val="24"/>
          <w:szCs w:val="24"/>
        </w:rPr>
      </w:pPr>
      <w:r w:rsidRPr="00476753">
        <w:rPr>
          <w:rFonts w:ascii="Calibri" w:hAnsi="Calibri" w:cs="Calibri"/>
          <w:sz w:val="24"/>
          <w:szCs w:val="24"/>
        </w:rPr>
        <w:t>The </w:t>
      </w:r>
      <w:proofErr w:type="spellStart"/>
      <w:r w:rsidRPr="00476753">
        <w:rPr>
          <w:rFonts w:ascii="Calibri" w:hAnsi="Calibri" w:cs="Calibri"/>
          <w:i/>
          <w:iCs/>
          <w:sz w:val="24"/>
          <w:szCs w:val="24"/>
        </w:rPr>
        <w:t>buybox</w:t>
      </w:r>
      <w:proofErr w:type="spellEnd"/>
      <w:r w:rsidRPr="00476753">
        <w:rPr>
          <w:rFonts w:ascii="Calibri" w:hAnsi="Calibri" w:cs="Calibri"/>
          <w:sz w:val="24"/>
          <w:szCs w:val="24"/>
        </w:rPr>
        <w:t> consolidates identical products from different sellers under a single heading. Using algorithm-defined metrics, it identifies the seller that offers the greatest benefit to customers, placing that seller at the top of the list when users search for the product. When a user clicks “</w:t>
      </w:r>
      <w:r w:rsidRPr="00476753">
        <w:rPr>
          <w:rFonts w:ascii="Calibri" w:hAnsi="Calibri" w:cs="Calibri"/>
          <w:i/>
          <w:iCs/>
          <w:sz w:val="24"/>
          <w:szCs w:val="24"/>
        </w:rPr>
        <w:t>Add to Cart</w:t>
      </w:r>
      <w:r w:rsidRPr="00476753">
        <w:rPr>
          <w:rFonts w:ascii="Calibri" w:hAnsi="Calibri" w:cs="Calibri"/>
          <w:sz w:val="24"/>
          <w:szCs w:val="24"/>
        </w:rPr>
        <w:t>” or “</w:t>
      </w:r>
      <w:r w:rsidRPr="00476753">
        <w:rPr>
          <w:rFonts w:ascii="Calibri" w:hAnsi="Calibri" w:cs="Calibri"/>
          <w:i/>
          <w:iCs/>
          <w:sz w:val="24"/>
          <w:szCs w:val="24"/>
        </w:rPr>
        <w:t>Buy Now</w:t>
      </w:r>
      <w:r w:rsidRPr="00476753">
        <w:rPr>
          <w:rFonts w:ascii="Calibri" w:hAnsi="Calibri" w:cs="Calibri"/>
          <w:sz w:val="24"/>
          <w:szCs w:val="24"/>
        </w:rPr>
        <w:t>”, the product from the seller winning the </w:t>
      </w:r>
      <w:proofErr w:type="spellStart"/>
      <w:r w:rsidRPr="00476753">
        <w:rPr>
          <w:rFonts w:ascii="Calibri" w:hAnsi="Calibri" w:cs="Calibri"/>
          <w:i/>
          <w:iCs/>
          <w:sz w:val="24"/>
          <w:szCs w:val="24"/>
        </w:rPr>
        <w:t>buybox</w:t>
      </w:r>
      <w:proofErr w:type="spellEnd"/>
      <w:r w:rsidRPr="00476753">
        <w:rPr>
          <w:rFonts w:ascii="Calibri" w:hAnsi="Calibri" w:cs="Calibri"/>
          <w:sz w:val="24"/>
          <w:szCs w:val="24"/>
        </w:rPr>
        <w:t> is selected. As a result, being featured in the </w:t>
      </w:r>
      <w:proofErr w:type="spellStart"/>
      <w:r w:rsidRPr="00476753">
        <w:rPr>
          <w:rFonts w:ascii="Calibri" w:hAnsi="Calibri" w:cs="Calibri"/>
          <w:i/>
          <w:iCs/>
          <w:sz w:val="24"/>
          <w:szCs w:val="24"/>
        </w:rPr>
        <w:t>buybox</w:t>
      </w:r>
      <w:proofErr w:type="spellEnd"/>
      <w:r w:rsidRPr="00476753">
        <w:rPr>
          <w:rFonts w:ascii="Calibri" w:hAnsi="Calibri" w:cs="Calibri"/>
          <w:sz w:val="24"/>
          <w:szCs w:val="24"/>
        </w:rPr>
        <w:t> is critical for sellers in terms of visibility and sales.</w:t>
      </w:r>
    </w:p>
    <w:p w14:paraId="417627A2" w14:textId="77777777" w:rsidR="00476753" w:rsidRPr="00476753" w:rsidRDefault="00476753" w:rsidP="00476753">
      <w:pPr>
        <w:jc w:val="both"/>
        <w:rPr>
          <w:rFonts w:ascii="Calibri" w:hAnsi="Calibri" w:cs="Calibri"/>
          <w:sz w:val="24"/>
          <w:szCs w:val="24"/>
        </w:rPr>
      </w:pPr>
      <w:r w:rsidRPr="00476753">
        <w:rPr>
          <w:rFonts w:ascii="Calibri" w:hAnsi="Calibri" w:cs="Calibri"/>
          <w:sz w:val="24"/>
          <w:szCs w:val="24"/>
        </w:rPr>
        <w:t>Through the automatic pricing mechanism, sellers are given three options: “</w:t>
      </w:r>
      <w:r w:rsidRPr="00476753">
        <w:rPr>
          <w:rFonts w:ascii="Calibri" w:hAnsi="Calibri" w:cs="Calibri"/>
          <w:i/>
          <w:iCs/>
          <w:sz w:val="24"/>
          <w:szCs w:val="24"/>
        </w:rPr>
        <w:t xml:space="preserve">Match the </w:t>
      </w:r>
      <w:proofErr w:type="spellStart"/>
      <w:r w:rsidRPr="00476753">
        <w:rPr>
          <w:rFonts w:ascii="Calibri" w:hAnsi="Calibri" w:cs="Calibri"/>
          <w:i/>
          <w:iCs/>
          <w:sz w:val="24"/>
          <w:szCs w:val="24"/>
        </w:rPr>
        <w:t>Buybox</w:t>
      </w:r>
      <w:proofErr w:type="spellEnd"/>
      <w:r w:rsidRPr="00476753">
        <w:rPr>
          <w:rFonts w:ascii="Calibri" w:hAnsi="Calibri" w:cs="Calibri"/>
          <w:i/>
          <w:iCs/>
          <w:sz w:val="24"/>
          <w:szCs w:val="24"/>
        </w:rPr>
        <w:t xml:space="preserve"> Price</w:t>
      </w:r>
      <w:r w:rsidRPr="00476753">
        <w:rPr>
          <w:rFonts w:ascii="Calibri" w:hAnsi="Calibri" w:cs="Calibri"/>
          <w:sz w:val="24"/>
          <w:szCs w:val="24"/>
        </w:rPr>
        <w:t>”, “</w:t>
      </w:r>
      <w:r w:rsidRPr="00476753">
        <w:rPr>
          <w:rFonts w:ascii="Calibri" w:hAnsi="Calibri" w:cs="Calibri"/>
          <w:i/>
          <w:iCs/>
          <w:sz w:val="24"/>
          <w:szCs w:val="24"/>
        </w:rPr>
        <w:t xml:space="preserve">Stay Below the </w:t>
      </w:r>
      <w:proofErr w:type="spellStart"/>
      <w:r w:rsidRPr="00476753">
        <w:rPr>
          <w:rFonts w:ascii="Calibri" w:hAnsi="Calibri" w:cs="Calibri"/>
          <w:i/>
          <w:iCs/>
          <w:sz w:val="24"/>
          <w:szCs w:val="24"/>
        </w:rPr>
        <w:t>Buybox</w:t>
      </w:r>
      <w:proofErr w:type="spellEnd"/>
      <w:r w:rsidRPr="00476753">
        <w:rPr>
          <w:rFonts w:ascii="Calibri" w:hAnsi="Calibri" w:cs="Calibri"/>
          <w:i/>
          <w:iCs/>
          <w:sz w:val="24"/>
          <w:szCs w:val="24"/>
        </w:rPr>
        <w:t xml:space="preserve"> Price</w:t>
      </w:r>
      <w:r w:rsidRPr="00476753">
        <w:rPr>
          <w:rFonts w:ascii="Calibri" w:hAnsi="Calibri" w:cs="Calibri"/>
          <w:sz w:val="24"/>
          <w:szCs w:val="24"/>
        </w:rPr>
        <w:t>”, or “</w:t>
      </w:r>
      <w:r w:rsidRPr="00476753">
        <w:rPr>
          <w:rFonts w:ascii="Calibri" w:hAnsi="Calibri" w:cs="Calibri"/>
          <w:i/>
          <w:iCs/>
          <w:sz w:val="24"/>
          <w:szCs w:val="24"/>
        </w:rPr>
        <w:t xml:space="preserve">Stay Above the </w:t>
      </w:r>
      <w:proofErr w:type="spellStart"/>
      <w:r w:rsidRPr="00476753">
        <w:rPr>
          <w:rFonts w:ascii="Calibri" w:hAnsi="Calibri" w:cs="Calibri"/>
          <w:i/>
          <w:iCs/>
          <w:sz w:val="24"/>
          <w:szCs w:val="24"/>
        </w:rPr>
        <w:t>Buybox</w:t>
      </w:r>
      <w:proofErr w:type="spellEnd"/>
      <w:r w:rsidRPr="00476753">
        <w:rPr>
          <w:rFonts w:ascii="Calibri" w:hAnsi="Calibri" w:cs="Calibri"/>
          <w:i/>
          <w:iCs/>
          <w:sz w:val="24"/>
          <w:szCs w:val="24"/>
        </w:rPr>
        <w:t xml:space="preserve"> Price</w:t>
      </w:r>
      <w:r w:rsidRPr="00476753">
        <w:rPr>
          <w:rFonts w:ascii="Calibri" w:hAnsi="Calibri" w:cs="Calibri"/>
          <w:sz w:val="24"/>
          <w:szCs w:val="24"/>
        </w:rPr>
        <w:t>”. Sellers can choose any of these options to automatically update their prices. They maintain full control over the rules they set, and the price of the seller who holds the </w:t>
      </w:r>
      <w:proofErr w:type="spellStart"/>
      <w:r w:rsidRPr="00476753">
        <w:rPr>
          <w:rFonts w:ascii="Calibri" w:hAnsi="Calibri" w:cs="Calibri"/>
          <w:i/>
          <w:iCs/>
          <w:sz w:val="24"/>
          <w:szCs w:val="24"/>
        </w:rPr>
        <w:t>buybox</w:t>
      </w:r>
      <w:proofErr w:type="spellEnd"/>
      <w:r w:rsidRPr="00476753">
        <w:rPr>
          <w:rFonts w:ascii="Calibri" w:hAnsi="Calibri" w:cs="Calibri"/>
          <w:sz w:val="24"/>
          <w:szCs w:val="24"/>
        </w:rPr>
        <w:t> is used as the reference price.</w:t>
      </w:r>
    </w:p>
    <w:p w14:paraId="6372C3E8" w14:textId="77777777" w:rsidR="00476753" w:rsidRDefault="00476753" w:rsidP="00476753">
      <w:pPr>
        <w:jc w:val="both"/>
        <w:rPr>
          <w:rFonts w:ascii="Calibri" w:hAnsi="Calibri" w:cs="Calibri"/>
          <w:b/>
          <w:bCs/>
          <w:sz w:val="24"/>
          <w:szCs w:val="24"/>
        </w:rPr>
      </w:pPr>
    </w:p>
    <w:p w14:paraId="6CDB526F" w14:textId="47C4C97E" w:rsidR="00476753" w:rsidRPr="00476753" w:rsidRDefault="00476753" w:rsidP="00476753">
      <w:pPr>
        <w:jc w:val="both"/>
        <w:rPr>
          <w:rFonts w:ascii="Calibri" w:hAnsi="Calibri" w:cs="Calibri"/>
          <w:sz w:val="24"/>
          <w:szCs w:val="24"/>
        </w:rPr>
      </w:pPr>
      <w:r w:rsidRPr="00476753">
        <w:rPr>
          <w:rFonts w:ascii="Calibri" w:hAnsi="Calibri" w:cs="Calibri"/>
          <w:b/>
          <w:bCs/>
          <w:sz w:val="24"/>
          <w:szCs w:val="24"/>
        </w:rPr>
        <w:lastRenderedPageBreak/>
        <w:t>The Concerns</w:t>
      </w:r>
    </w:p>
    <w:p w14:paraId="34F64B56" w14:textId="77777777" w:rsidR="00476753" w:rsidRPr="00476753" w:rsidRDefault="00476753" w:rsidP="00476753">
      <w:pPr>
        <w:jc w:val="both"/>
        <w:rPr>
          <w:rFonts w:ascii="Calibri" w:hAnsi="Calibri" w:cs="Calibri"/>
          <w:sz w:val="24"/>
          <w:szCs w:val="24"/>
        </w:rPr>
      </w:pPr>
      <w:r w:rsidRPr="00476753">
        <w:rPr>
          <w:rFonts w:ascii="Calibri" w:hAnsi="Calibri" w:cs="Calibri"/>
          <w:sz w:val="24"/>
          <w:szCs w:val="24"/>
        </w:rPr>
        <w:t>The investigation raises concerns that sellers may become less inclined to set varying retail prices, leading to potential price rigidity across products listed on the platform. This issue could arise due to the cumulative effect of (</w:t>
      </w:r>
      <w:proofErr w:type="spellStart"/>
      <w:r w:rsidRPr="00476753">
        <w:rPr>
          <w:rFonts w:ascii="Calibri" w:hAnsi="Calibri" w:cs="Calibri"/>
          <w:b/>
          <w:bCs/>
          <w:sz w:val="24"/>
          <w:szCs w:val="24"/>
        </w:rPr>
        <w:t>i</w:t>
      </w:r>
      <w:proofErr w:type="spellEnd"/>
      <w:r w:rsidRPr="00476753">
        <w:rPr>
          <w:rFonts w:ascii="Calibri" w:hAnsi="Calibri" w:cs="Calibri"/>
          <w:sz w:val="24"/>
          <w:szCs w:val="24"/>
        </w:rPr>
        <w:t>) an increasing number of sellers utilizing the automatic pricing mechanism, particularly the “</w:t>
      </w:r>
      <w:r w:rsidRPr="00476753">
        <w:rPr>
          <w:rFonts w:ascii="Calibri" w:hAnsi="Calibri" w:cs="Calibri"/>
          <w:i/>
          <w:iCs/>
          <w:sz w:val="24"/>
          <w:szCs w:val="24"/>
        </w:rPr>
        <w:t xml:space="preserve">Match the </w:t>
      </w:r>
      <w:proofErr w:type="spellStart"/>
      <w:r w:rsidRPr="00476753">
        <w:rPr>
          <w:rFonts w:ascii="Calibri" w:hAnsi="Calibri" w:cs="Calibri"/>
          <w:i/>
          <w:iCs/>
          <w:sz w:val="24"/>
          <w:szCs w:val="24"/>
        </w:rPr>
        <w:t>Buybox</w:t>
      </w:r>
      <w:proofErr w:type="spellEnd"/>
      <w:r w:rsidRPr="00476753">
        <w:rPr>
          <w:rFonts w:ascii="Calibri" w:hAnsi="Calibri" w:cs="Calibri"/>
          <w:i/>
          <w:iCs/>
          <w:sz w:val="24"/>
          <w:szCs w:val="24"/>
        </w:rPr>
        <w:t xml:space="preserve"> Price</w:t>
      </w:r>
      <w:r w:rsidRPr="00476753">
        <w:rPr>
          <w:rFonts w:ascii="Calibri" w:hAnsi="Calibri" w:cs="Calibri"/>
          <w:sz w:val="24"/>
          <w:szCs w:val="24"/>
        </w:rPr>
        <w:t>” option, (</w:t>
      </w:r>
      <w:r w:rsidRPr="00476753">
        <w:rPr>
          <w:rFonts w:ascii="Calibri" w:hAnsi="Calibri" w:cs="Calibri"/>
          <w:b/>
          <w:bCs/>
          <w:sz w:val="24"/>
          <w:szCs w:val="24"/>
        </w:rPr>
        <w:t>ii</w:t>
      </w:r>
      <w:r w:rsidRPr="00476753">
        <w:rPr>
          <w:rFonts w:ascii="Calibri" w:hAnsi="Calibri" w:cs="Calibri"/>
          <w:sz w:val="24"/>
          <w:szCs w:val="24"/>
        </w:rPr>
        <w:t xml:space="preserve">) and the optimal functioning of the mechanism providing the desired results in the future, exacerbating the </w:t>
      </w:r>
      <w:proofErr w:type="spellStart"/>
      <w:r w:rsidRPr="00476753">
        <w:rPr>
          <w:rFonts w:ascii="Calibri" w:hAnsi="Calibri" w:cs="Calibri"/>
          <w:sz w:val="24"/>
          <w:szCs w:val="24"/>
        </w:rPr>
        <w:t>utilisation</w:t>
      </w:r>
      <w:proofErr w:type="spellEnd"/>
      <w:r w:rsidRPr="00476753">
        <w:rPr>
          <w:rFonts w:ascii="Calibri" w:hAnsi="Calibri" w:cs="Calibri"/>
          <w:sz w:val="24"/>
          <w:szCs w:val="24"/>
        </w:rPr>
        <w:t xml:space="preserve"> of this option.</w:t>
      </w:r>
    </w:p>
    <w:p w14:paraId="67B4E201" w14:textId="77777777" w:rsidR="00476753" w:rsidRPr="00476753" w:rsidRDefault="00476753" w:rsidP="00476753">
      <w:pPr>
        <w:jc w:val="both"/>
        <w:rPr>
          <w:rFonts w:ascii="Calibri" w:hAnsi="Calibri" w:cs="Calibri"/>
          <w:sz w:val="24"/>
          <w:szCs w:val="24"/>
        </w:rPr>
      </w:pPr>
      <w:r w:rsidRPr="00476753">
        <w:rPr>
          <w:rFonts w:ascii="Calibri" w:hAnsi="Calibri" w:cs="Calibri"/>
          <w:b/>
          <w:bCs/>
          <w:sz w:val="24"/>
          <w:szCs w:val="24"/>
        </w:rPr>
        <w:t>The Commitments</w:t>
      </w:r>
    </w:p>
    <w:p w14:paraId="214F304F" w14:textId="77777777" w:rsidR="00476753" w:rsidRPr="00476753" w:rsidRDefault="00476753" w:rsidP="00476753">
      <w:pPr>
        <w:jc w:val="both"/>
        <w:rPr>
          <w:rFonts w:ascii="Calibri" w:hAnsi="Calibri" w:cs="Calibri"/>
          <w:sz w:val="24"/>
          <w:szCs w:val="24"/>
        </w:rPr>
      </w:pPr>
      <w:r w:rsidRPr="00476753">
        <w:rPr>
          <w:rFonts w:ascii="Calibri" w:hAnsi="Calibri" w:cs="Calibri"/>
          <w:sz w:val="24"/>
          <w:szCs w:val="24"/>
        </w:rPr>
        <w:t xml:space="preserve">During the ongoing investigation, </w:t>
      </w:r>
      <w:proofErr w:type="spellStart"/>
      <w:r w:rsidRPr="00476753">
        <w:rPr>
          <w:rFonts w:ascii="Calibri" w:hAnsi="Calibri" w:cs="Calibri"/>
          <w:sz w:val="24"/>
          <w:szCs w:val="24"/>
        </w:rPr>
        <w:t>Trendyol</w:t>
      </w:r>
      <w:proofErr w:type="spellEnd"/>
      <w:r w:rsidRPr="00476753">
        <w:rPr>
          <w:rFonts w:ascii="Calibri" w:hAnsi="Calibri" w:cs="Calibri"/>
          <w:sz w:val="24"/>
          <w:szCs w:val="24"/>
        </w:rPr>
        <w:t xml:space="preserve"> requested to propose commitments. </w:t>
      </w:r>
      <w:proofErr w:type="spellStart"/>
      <w:r w:rsidRPr="00476753">
        <w:rPr>
          <w:rFonts w:ascii="Calibri" w:hAnsi="Calibri" w:cs="Calibri"/>
          <w:sz w:val="24"/>
          <w:szCs w:val="24"/>
        </w:rPr>
        <w:t>Trendyol’s</w:t>
      </w:r>
      <w:proofErr w:type="spellEnd"/>
      <w:r w:rsidRPr="00476753">
        <w:rPr>
          <w:rFonts w:ascii="Calibri" w:hAnsi="Calibri" w:cs="Calibri"/>
          <w:sz w:val="24"/>
          <w:szCs w:val="24"/>
        </w:rPr>
        <w:t xml:space="preserve"> commitments were deemed adequate to address the competition concerns raised within the scope of the file and were made binding under Article 43 of Competition Law, concluding the investigation without any fines.</w:t>
      </w:r>
    </w:p>
    <w:p w14:paraId="75FD0869" w14:textId="77777777" w:rsidR="00476753" w:rsidRPr="00476753" w:rsidRDefault="00476753" w:rsidP="00476753">
      <w:pPr>
        <w:jc w:val="both"/>
        <w:rPr>
          <w:rFonts w:ascii="Calibri" w:hAnsi="Calibri" w:cs="Calibri"/>
          <w:sz w:val="24"/>
          <w:szCs w:val="24"/>
        </w:rPr>
      </w:pPr>
      <w:r w:rsidRPr="00476753">
        <w:rPr>
          <w:rFonts w:ascii="Calibri" w:hAnsi="Calibri" w:cs="Calibri"/>
          <w:sz w:val="24"/>
          <w:szCs w:val="24"/>
        </w:rPr>
        <w:t xml:space="preserve">Within the scope of the commitments proposed and deemed binding upon it, </w:t>
      </w:r>
      <w:proofErr w:type="spellStart"/>
      <w:r w:rsidRPr="00476753">
        <w:rPr>
          <w:rFonts w:ascii="Calibri" w:hAnsi="Calibri" w:cs="Calibri"/>
          <w:sz w:val="24"/>
          <w:szCs w:val="24"/>
        </w:rPr>
        <w:t>Trendyol</w:t>
      </w:r>
      <w:proofErr w:type="spellEnd"/>
      <w:r w:rsidRPr="00476753">
        <w:rPr>
          <w:rFonts w:ascii="Calibri" w:hAnsi="Calibri" w:cs="Calibri"/>
          <w:sz w:val="24"/>
          <w:szCs w:val="24"/>
        </w:rPr>
        <w:t xml:space="preserve"> shall:</w:t>
      </w:r>
    </w:p>
    <w:p w14:paraId="07388974" w14:textId="77777777" w:rsidR="00476753" w:rsidRPr="00476753" w:rsidRDefault="00476753" w:rsidP="00476753">
      <w:pPr>
        <w:numPr>
          <w:ilvl w:val="0"/>
          <w:numId w:val="1"/>
        </w:numPr>
        <w:jc w:val="both"/>
        <w:rPr>
          <w:rFonts w:ascii="Calibri" w:hAnsi="Calibri" w:cs="Calibri"/>
          <w:sz w:val="24"/>
          <w:szCs w:val="24"/>
        </w:rPr>
      </w:pPr>
      <w:r w:rsidRPr="00476753">
        <w:rPr>
          <w:rFonts w:ascii="Calibri" w:hAnsi="Calibri" w:cs="Calibri"/>
          <w:sz w:val="24"/>
          <w:szCs w:val="24"/>
        </w:rPr>
        <w:t>maintain its policy of not requiring sellers to use the automatic pricing mechanism and will refrain from providing any incentives that could effectively compel sellers to use it.</w:t>
      </w:r>
    </w:p>
    <w:p w14:paraId="1EFDCA6F" w14:textId="77777777" w:rsidR="00476753" w:rsidRPr="00476753" w:rsidRDefault="00476753" w:rsidP="00476753">
      <w:pPr>
        <w:numPr>
          <w:ilvl w:val="0"/>
          <w:numId w:val="1"/>
        </w:numPr>
        <w:jc w:val="both"/>
        <w:rPr>
          <w:rFonts w:ascii="Calibri" w:hAnsi="Calibri" w:cs="Calibri"/>
          <w:sz w:val="24"/>
          <w:szCs w:val="24"/>
        </w:rPr>
      </w:pPr>
      <w:r w:rsidRPr="00476753">
        <w:rPr>
          <w:rFonts w:ascii="Calibri" w:hAnsi="Calibri" w:cs="Calibri"/>
          <w:sz w:val="24"/>
          <w:szCs w:val="24"/>
        </w:rPr>
        <w:t>ensure that the automatic pricing mechanism does not allow the targeting of specific seller(s) when setting pricing rules.</w:t>
      </w:r>
    </w:p>
    <w:p w14:paraId="094BCD02" w14:textId="77777777" w:rsidR="00476753" w:rsidRPr="00476753" w:rsidRDefault="00476753" w:rsidP="00476753">
      <w:pPr>
        <w:numPr>
          <w:ilvl w:val="0"/>
          <w:numId w:val="1"/>
        </w:numPr>
        <w:jc w:val="both"/>
        <w:rPr>
          <w:rFonts w:ascii="Calibri" w:hAnsi="Calibri" w:cs="Calibri"/>
          <w:sz w:val="24"/>
          <w:szCs w:val="24"/>
        </w:rPr>
      </w:pPr>
      <w:r w:rsidRPr="00476753">
        <w:rPr>
          <w:rFonts w:ascii="Calibri" w:hAnsi="Calibri" w:cs="Calibri"/>
          <w:sz w:val="24"/>
          <w:szCs w:val="24"/>
        </w:rPr>
        <w:t>remove the “</w:t>
      </w:r>
      <w:r w:rsidRPr="00476753">
        <w:rPr>
          <w:rFonts w:ascii="Calibri" w:hAnsi="Calibri" w:cs="Calibri"/>
          <w:i/>
          <w:iCs/>
          <w:sz w:val="24"/>
          <w:szCs w:val="24"/>
        </w:rPr>
        <w:t xml:space="preserve">Match the </w:t>
      </w:r>
      <w:proofErr w:type="spellStart"/>
      <w:r w:rsidRPr="00476753">
        <w:rPr>
          <w:rFonts w:ascii="Calibri" w:hAnsi="Calibri" w:cs="Calibri"/>
          <w:i/>
          <w:iCs/>
          <w:sz w:val="24"/>
          <w:szCs w:val="24"/>
        </w:rPr>
        <w:t>Buybox</w:t>
      </w:r>
      <w:proofErr w:type="spellEnd"/>
      <w:r w:rsidRPr="00476753">
        <w:rPr>
          <w:rFonts w:ascii="Calibri" w:hAnsi="Calibri" w:cs="Calibri"/>
          <w:i/>
          <w:iCs/>
          <w:sz w:val="24"/>
          <w:szCs w:val="24"/>
        </w:rPr>
        <w:t xml:space="preserve"> Price</w:t>
      </w:r>
      <w:r w:rsidRPr="00476753">
        <w:rPr>
          <w:rFonts w:ascii="Calibri" w:hAnsi="Calibri" w:cs="Calibri"/>
          <w:sz w:val="24"/>
          <w:szCs w:val="24"/>
        </w:rPr>
        <w:t>” option from its automatic pricing mechanism, leaving sellers with only the “</w:t>
      </w:r>
      <w:r w:rsidRPr="00476753">
        <w:rPr>
          <w:rFonts w:ascii="Calibri" w:hAnsi="Calibri" w:cs="Calibri"/>
          <w:i/>
          <w:iCs/>
          <w:sz w:val="24"/>
          <w:szCs w:val="24"/>
        </w:rPr>
        <w:t xml:space="preserve">Stay Below the </w:t>
      </w:r>
      <w:proofErr w:type="spellStart"/>
      <w:r w:rsidRPr="00476753">
        <w:rPr>
          <w:rFonts w:ascii="Calibri" w:hAnsi="Calibri" w:cs="Calibri"/>
          <w:i/>
          <w:iCs/>
          <w:sz w:val="24"/>
          <w:szCs w:val="24"/>
        </w:rPr>
        <w:t>Buybox</w:t>
      </w:r>
      <w:proofErr w:type="spellEnd"/>
      <w:r w:rsidRPr="00476753">
        <w:rPr>
          <w:rFonts w:ascii="Calibri" w:hAnsi="Calibri" w:cs="Calibri"/>
          <w:i/>
          <w:iCs/>
          <w:sz w:val="24"/>
          <w:szCs w:val="24"/>
        </w:rPr>
        <w:t xml:space="preserve"> Price</w:t>
      </w:r>
      <w:r w:rsidRPr="00476753">
        <w:rPr>
          <w:rFonts w:ascii="Calibri" w:hAnsi="Calibri" w:cs="Calibri"/>
          <w:sz w:val="24"/>
          <w:szCs w:val="24"/>
        </w:rPr>
        <w:t>” and “</w:t>
      </w:r>
      <w:r w:rsidRPr="00476753">
        <w:rPr>
          <w:rFonts w:ascii="Calibri" w:hAnsi="Calibri" w:cs="Calibri"/>
          <w:i/>
          <w:iCs/>
          <w:sz w:val="24"/>
          <w:szCs w:val="24"/>
        </w:rPr>
        <w:t xml:space="preserve">Stay Above the </w:t>
      </w:r>
      <w:proofErr w:type="spellStart"/>
      <w:r w:rsidRPr="00476753">
        <w:rPr>
          <w:rFonts w:ascii="Calibri" w:hAnsi="Calibri" w:cs="Calibri"/>
          <w:i/>
          <w:iCs/>
          <w:sz w:val="24"/>
          <w:szCs w:val="24"/>
        </w:rPr>
        <w:t>Buybox</w:t>
      </w:r>
      <w:proofErr w:type="spellEnd"/>
      <w:r w:rsidRPr="00476753">
        <w:rPr>
          <w:rFonts w:ascii="Calibri" w:hAnsi="Calibri" w:cs="Calibri"/>
          <w:i/>
          <w:iCs/>
          <w:sz w:val="24"/>
          <w:szCs w:val="24"/>
        </w:rPr>
        <w:t xml:space="preserve"> Price</w:t>
      </w:r>
      <w:r w:rsidRPr="00476753">
        <w:rPr>
          <w:rFonts w:ascii="Calibri" w:hAnsi="Calibri" w:cs="Calibri"/>
          <w:sz w:val="24"/>
          <w:szCs w:val="24"/>
        </w:rPr>
        <w:t>” options. Additionally, these remaining options will be configured to prevent them from achieving the same outcome as the “</w:t>
      </w:r>
      <w:r w:rsidRPr="00476753">
        <w:rPr>
          <w:rFonts w:ascii="Calibri" w:hAnsi="Calibri" w:cs="Calibri"/>
          <w:i/>
          <w:iCs/>
          <w:sz w:val="24"/>
          <w:szCs w:val="24"/>
        </w:rPr>
        <w:t xml:space="preserve">Match the </w:t>
      </w:r>
      <w:proofErr w:type="spellStart"/>
      <w:r w:rsidRPr="00476753">
        <w:rPr>
          <w:rFonts w:ascii="Calibri" w:hAnsi="Calibri" w:cs="Calibri"/>
          <w:i/>
          <w:iCs/>
          <w:sz w:val="24"/>
          <w:szCs w:val="24"/>
        </w:rPr>
        <w:t>Buybox</w:t>
      </w:r>
      <w:proofErr w:type="spellEnd"/>
      <w:r w:rsidRPr="00476753">
        <w:rPr>
          <w:rFonts w:ascii="Calibri" w:hAnsi="Calibri" w:cs="Calibri"/>
          <w:i/>
          <w:iCs/>
          <w:sz w:val="24"/>
          <w:szCs w:val="24"/>
        </w:rPr>
        <w:t xml:space="preserve"> Price</w:t>
      </w:r>
      <w:r w:rsidRPr="00476753">
        <w:rPr>
          <w:rFonts w:ascii="Calibri" w:hAnsi="Calibri" w:cs="Calibri"/>
          <w:sz w:val="24"/>
          <w:szCs w:val="24"/>
        </w:rPr>
        <w:t>” option—for example, by prohibiting settings that allow prices to remain exactly 0% or TRY 0 above or below the </w:t>
      </w:r>
      <w:proofErr w:type="spellStart"/>
      <w:r w:rsidRPr="00476753">
        <w:rPr>
          <w:rFonts w:ascii="Calibri" w:hAnsi="Calibri" w:cs="Calibri"/>
          <w:i/>
          <w:iCs/>
          <w:sz w:val="24"/>
          <w:szCs w:val="24"/>
        </w:rPr>
        <w:t>buybox</w:t>
      </w:r>
      <w:proofErr w:type="spellEnd"/>
      <w:r w:rsidRPr="00476753">
        <w:rPr>
          <w:rFonts w:ascii="Calibri" w:hAnsi="Calibri" w:cs="Calibri"/>
          <w:sz w:val="24"/>
          <w:szCs w:val="24"/>
        </w:rPr>
        <w:t> price.</w:t>
      </w:r>
    </w:p>
    <w:p w14:paraId="3C04808C" w14:textId="77777777" w:rsidR="00476753" w:rsidRPr="00476753" w:rsidRDefault="00476753" w:rsidP="00476753">
      <w:pPr>
        <w:numPr>
          <w:ilvl w:val="0"/>
          <w:numId w:val="1"/>
        </w:numPr>
        <w:jc w:val="both"/>
        <w:rPr>
          <w:rFonts w:ascii="Calibri" w:hAnsi="Calibri" w:cs="Calibri"/>
          <w:sz w:val="24"/>
          <w:szCs w:val="24"/>
        </w:rPr>
      </w:pPr>
      <w:r w:rsidRPr="00476753">
        <w:rPr>
          <w:rFonts w:ascii="Calibri" w:hAnsi="Calibri" w:cs="Calibri"/>
          <w:sz w:val="24"/>
          <w:szCs w:val="24"/>
        </w:rPr>
        <w:t>ensure that the use of the automatic pricing mechanism by sellers is not a factor in determining </w:t>
      </w:r>
      <w:proofErr w:type="spellStart"/>
      <w:r w:rsidRPr="00476753">
        <w:rPr>
          <w:rFonts w:ascii="Calibri" w:hAnsi="Calibri" w:cs="Calibri"/>
          <w:i/>
          <w:iCs/>
          <w:sz w:val="24"/>
          <w:szCs w:val="24"/>
        </w:rPr>
        <w:t>buybox</w:t>
      </w:r>
      <w:proofErr w:type="spellEnd"/>
      <w:r w:rsidRPr="00476753">
        <w:rPr>
          <w:rFonts w:ascii="Calibri" w:hAnsi="Calibri" w:cs="Calibri"/>
          <w:sz w:val="24"/>
          <w:szCs w:val="24"/>
        </w:rPr>
        <w:t> eligibility within its algorithm.</w:t>
      </w:r>
    </w:p>
    <w:p w14:paraId="13C444E4" w14:textId="77777777" w:rsidR="00476753" w:rsidRPr="00476753" w:rsidRDefault="00476753" w:rsidP="00476753">
      <w:pPr>
        <w:numPr>
          <w:ilvl w:val="0"/>
          <w:numId w:val="1"/>
        </w:numPr>
        <w:jc w:val="both"/>
        <w:rPr>
          <w:rFonts w:ascii="Calibri" w:hAnsi="Calibri" w:cs="Calibri"/>
          <w:sz w:val="24"/>
          <w:szCs w:val="24"/>
        </w:rPr>
      </w:pPr>
      <w:r w:rsidRPr="00476753">
        <w:rPr>
          <w:rFonts w:ascii="Calibri" w:hAnsi="Calibri" w:cs="Calibri"/>
          <w:sz w:val="24"/>
          <w:szCs w:val="24"/>
        </w:rPr>
        <w:t>provide sellers with information about the features of the automatic pricing mechanism but will continue to refrain from sharing data about other sellers’ use of the mechanism.</w:t>
      </w:r>
    </w:p>
    <w:p w14:paraId="6B93A3FC" w14:textId="77777777" w:rsidR="00476753" w:rsidRPr="00476753" w:rsidRDefault="00476753" w:rsidP="00476753">
      <w:pPr>
        <w:numPr>
          <w:ilvl w:val="0"/>
          <w:numId w:val="1"/>
        </w:numPr>
        <w:jc w:val="both"/>
        <w:rPr>
          <w:rFonts w:ascii="Calibri" w:hAnsi="Calibri" w:cs="Calibri"/>
          <w:sz w:val="24"/>
          <w:szCs w:val="24"/>
        </w:rPr>
      </w:pPr>
      <w:r w:rsidRPr="00476753">
        <w:rPr>
          <w:rFonts w:ascii="Calibri" w:hAnsi="Calibri" w:cs="Calibri"/>
          <w:sz w:val="24"/>
          <w:szCs w:val="24"/>
        </w:rPr>
        <w:t xml:space="preserve">make training materials on the operation of the automatic pricing mechanism available to sellers and will also provide its staff with competition law </w:t>
      </w:r>
      <w:proofErr w:type="gramStart"/>
      <w:r w:rsidRPr="00476753">
        <w:rPr>
          <w:rFonts w:ascii="Calibri" w:hAnsi="Calibri" w:cs="Calibri"/>
          <w:sz w:val="24"/>
          <w:szCs w:val="24"/>
        </w:rPr>
        <w:t>training,</w:t>
      </w:r>
      <w:proofErr w:type="gramEnd"/>
      <w:r w:rsidRPr="00476753">
        <w:rPr>
          <w:rFonts w:ascii="Calibri" w:hAnsi="Calibri" w:cs="Calibri"/>
          <w:sz w:val="24"/>
          <w:szCs w:val="24"/>
        </w:rPr>
        <w:t xml:space="preserve"> addressing the concerns and commitments outlined during the investigation.</w:t>
      </w:r>
    </w:p>
    <w:p w14:paraId="1A06ED7D" w14:textId="77777777" w:rsidR="00476753" w:rsidRPr="00476753" w:rsidRDefault="00476753" w:rsidP="00476753">
      <w:pPr>
        <w:numPr>
          <w:ilvl w:val="0"/>
          <w:numId w:val="1"/>
        </w:numPr>
        <w:jc w:val="both"/>
        <w:rPr>
          <w:rFonts w:ascii="Calibri" w:hAnsi="Calibri" w:cs="Calibri"/>
          <w:sz w:val="24"/>
          <w:szCs w:val="24"/>
        </w:rPr>
      </w:pPr>
      <w:r w:rsidRPr="00476753">
        <w:rPr>
          <w:rFonts w:ascii="Calibri" w:hAnsi="Calibri" w:cs="Calibri"/>
          <w:sz w:val="24"/>
          <w:szCs w:val="24"/>
        </w:rPr>
        <w:t>submit reports to the TCA for three years to ensure ongoing compliance with the commitments.</w:t>
      </w:r>
    </w:p>
    <w:p w14:paraId="16D1A077" w14:textId="77777777" w:rsidR="00476753" w:rsidRPr="00476753" w:rsidRDefault="00476753" w:rsidP="00476753">
      <w:pPr>
        <w:jc w:val="both"/>
        <w:rPr>
          <w:rFonts w:ascii="Calibri" w:hAnsi="Calibri" w:cs="Calibri"/>
          <w:sz w:val="24"/>
          <w:szCs w:val="24"/>
        </w:rPr>
      </w:pPr>
      <w:r w:rsidRPr="00476753">
        <w:rPr>
          <w:rFonts w:ascii="Calibri" w:hAnsi="Calibri" w:cs="Calibri"/>
          <w:sz w:val="24"/>
          <w:szCs w:val="24"/>
        </w:rPr>
        <w:t xml:space="preserve">The commitments will take effect 60 days after </w:t>
      </w:r>
      <w:proofErr w:type="spellStart"/>
      <w:r w:rsidRPr="00476753">
        <w:rPr>
          <w:rFonts w:ascii="Calibri" w:hAnsi="Calibri" w:cs="Calibri"/>
          <w:sz w:val="24"/>
          <w:szCs w:val="24"/>
        </w:rPr>
        <w:t>Trendyol</w:t>
      </w:r>
      <w:proofErr w:type="spellEnd"/>
      <w:r w:rsidRPr="00476753">
        <w:rPr>
          <w:rFonts w:ascii="Calibri" w:hAnsi="Calibri" w:cs="Calibri"/>
          <w:sz w:val="24"/>
          <w:szCs w:val="24"/>
        </w:rPr>
        <w:t xml:space="preserve"> is notified of the short decision, and they will remain valid for as long as the automatic pricing mechanism is in use.</w:t>
      </w:r>
    </w:p>
    <w:p w14:paraId="5D5EE455" w14:textId="77777777" w:rsidR="00476753" w:rsidRDefault="00476753" w:rsidP="00476753">
      <w:pPr>
        <w:jc w:val="both"/>
        <w:rPr>
          <w:rFonts w:ascii="Calibri" w:hAnsi="Calibri" w:cs="Calibri"/>
          <w:b/>
          <w:bCs/>
          <w:sz w:val="24"/>
          <w:szCs w:val="24"/>
        </w:rPr>
      </w:pPr>
    </w:p>
    <w:p w14:paraId="0305B6B9" w14:textId="44D29304" w:rsidR="00476753" w:rsidRPr="00476753" w:rsidRDefault="00476753" w:rsidP="00476753">
      <w:pPr>
        <w:jc w:val="both"/>
        <w:rPr>
          <w:rFonts w:ascii="Calibri" w:hAnsi="Calibri" w:cs="Calibri"/>
          <w:b/>
          <w:bCs/>
          <w:sz w:val="24"/>
          <w:szCs w:val="24"/>
        </w:rPr>
      </w:pPr>
      <w:r w:rsidRPr="00476753">
        <w:rPr>
          <w:rFonts w:ascii="Calibri" w:hAnsi="Calibri" w:cs="Calibri"/>
          <w:b/>
          <w:bCs/>
          <w:sz w:val="24"/>
          <w:szCs w:val="24"/>
        </w:rPr>
        <w:lastRenderedPageBreak/>
        <w:t>Conclusion</w:t>
      </w:r>
    </w:p>
    <w:p w14:paraId="0D3F813F" w14:textId="77777777" w:rsidR="00476753" w:rsidRPr="00476753" w:rsidRDefault="00476753" w:rsidP="00476753">
      <w:pPr>
        <w:jc w:val="both"/>
        <w:rPr>
          <w:rFonts w:ascii="Calibri" w:hAnsi="Calibri" w:cs="Calibri"/>
          <w:sz w:val="24"/>
          <w:szCs w:val="24"/>
        </w:rPr>
      </w:pPr>
      <w:r w:rsidRPr="00476753">
        <w:rPr>
          <w:rFonts w:ascii="Calibri" w:hAnsi="Calibri" w:cs="Calibri"/>
          <w:sz w:val="24"/>
          <w:szCs w:val="24"/>
        </w:rPr>
        <w:t xml:space="preserve">The investigation initiated by the TCA into </w:t>
      </w:r>
      <w:proofErr w:type="spellStart"/>
      <w:r w:rsidRPr="00476753">
        <w:rPr>
          <w:rFonts w:ascii="Calibri" w:hAnsi="Calibri" w:cs="Calibri"/>
          <w:sz w:val="24"/>
          <w:szCs w:val="24"/>
        </w:rPr>
        <w:t>Trendyol’s</w:t>
      </w:r>
      <w:proofErr w:type="spellEnd"/>
      <w:r w:rsidRPr="00476753">
        <w:rPr>
          <w:rFonts w:ascii="Calibri" w:hAnsi="Calibri" w:cs="Calibri"/>
          <w:sz w:val="24"/>
          <w:szCs w:val="24"/>
        </w:rPr>
        <w:t xml:space="preserve"> automatic pricing mechanism highlights the complexities of regulating digital marketplace practices in a rapidly evolving e-commerce environment. The concerns raised during the investigation, particularly the potential for price rigidity and the cumulative effect of automated pricing on competition, reflect the broader challenges associated with the use of algorithmic pricing systems in multi-seller online platforms.</w:t>
      </w:r>
    </w:p>
    <w:p w14:paraId="584DFD8B" w14:textId="77777777" w:rsidR="00476753" w:rsidRPr="00476753" w:rsidRDefault="00476753" w:rsidP="00476753">
      <w:pPr>
        <w:jc w:val="both"/>
        <w:rPr>
          <w:rFonts w:ascii="Calibri" w:hAnsi="Calibri" w:cs="Calibri"/>
          <w:sz w:val="24"/>
          <w:szCs w:val="24"/>
        </w:rPr>
      </w:pPr>
      <w:r w:rsidRPr="00476753">
        <w:rPr>
          <w:rFonts w:ascii="Calibri" w:hAnsi="Calibri" w:cs="Calibri"/>
          <w:sz w:val="24"/>
          <w:szCs w:val="24"/>
        </w:rPr>
        <w:t xml:space="preserve">The commitments proposed by </w:t>
      </w:r>
      <w:proofErr w:type="spellStart"/>
      <w:r w:rsidRPr="00476753">
        <w:rPr>
          <w:rFonts w:ascii="Calibri" w:hAnsi="Calibri" w:cs="Calibri"/>
          <w:sz w:val="24"/>
          <w:szCs w:val="24"/>
        </w:rPr>
        <w:t>Trendyol</w:t>
      </w:r>
      <w:proofErr w:type="spellEnd"/>
      <w:r w:rsidRPr="00476753">
        <w:rPr>
          <w:rFonts w:ascii="Calibri" w:hAnsi="Calibri" w:cs="Calibri"/>
          <w:sz w:val="24"/>
          <w:szCs w:val="24"/>
        </w:rPr>
        <w:t xml:space="preserve"> provided a constructive resolution to these issues, ensuring that the automatic pricing mechanism would not hinder competition or result in any anticompetitive outcomes. By removing the “</w:t>
      </w:r>
      <w:r w:rsidRPr="00476753">
        <w:rPr>
          <w:rFonts w:ascii="Calibri" w:hAnsi="Calibri" w:cs="Calibri"/>
          <w:i/>
          <w:iCs/>
          <w:sz w:val="24"/>
          <w:szCs w:val="24"/>
        </w:rPr>
        <w:t xml:space="preserve">Match the </w:t>
      </w:r>
      <w:proofErr w:type="spellStart"/>
      <w:r w:rsidRPr="00476753">
        <w:rPr>
          <w:rFonts w:ascii="Calibri" w:hAnsi="Calibri" w:cs="Calibri"/>
          <w:i/>
          <w:iCs/>
          <w:sz w:val="24"/>
          <w:szCs w:val="24"/>
        </w:rPr>
        <w:t>Buybox</w:t>
      </w:r>
      <w:proofErr w:type="spellEnd"/>
      <w:r w:rsidRPr="00476753">
        <w:rPr>
          <w:rFonts w:ascii="Calibri" w:hAnsi="Calibri" w:cs="Calibri"/>
          <w:i/>
          <w:iCs/>
          <w:sz w:val="24"/>
          <w:szCs w:val="24"/>
        </w:rPr>
        <w:t xml:space="preserve"> Price</w:t>
      </w:r>
      <w:r w:rsidRPr="00476753">
        <w:rPr>
          <w:rFonts w:ascii="Calibri" w:hAnsi="Calibri" w:cs="Calibri"/>
          <w:sz w:val="24"/>
          <w:szCs w:val="24"/>
        </w:rPr>
        <w:t xml:space="preserve">” option, refraining from </w:t>
      </w:r>
      <w:proofErr w:type="spellStart"/>
      <w:r w:rsidRPr="00476753">
        <w:rPr>
          <w:rFonts w:ascii="Calibri" w:hAnsi="Calibri" w:cs="Calibri"/>
          <w:sz w:val="24"/>
          <w:szCs w:val="24"/>
        </w:rPr>
        <w:t>incentivising</w:t>
      </w:r>
      <w:proofErr w:type="spellEnd"/>
      <w:r w:rsidRPr="00476753">
        <w:rPr>
          <w:rFonts w:ascii="Calibri" w:hAnsi="Calibri" w:cs="Calibri"/>
          <w:sz w:val="24"/>
          <w:szCs w:val="24"/>
        </w:rPr>
        <w:t xml:space="preserve"> sellers to use the system, and implementing measures to maintain price variation, </w:t>
      </w:r>
      <w:proofErr w:type="spellStart"/>
      <w:r w:rsidRPr="00476753">
        <w:rPr>
          <w:rFonts w:ascii="Calibri" w:hAnsi="Calibri" w:cs="Calibri"/>
          <w:sz w:val="24"/>
          <w:szCs w:val="24"/>
        </w:rPr>
        <w:t>Trendyol</w:t>
      </w:r>
      <w:proofErr w:type="spellEnd"/>
      <w:r w:rsidRPr="00476753">
        <w:rPr>
          <w:rFonts w:ascii="Calibri" w:hAnsi="Calibri" w:cs="Calibri"/>
          <w:sz w:val="24"/>
          <w:szCs w:val="24"/>
        </w:rPr>
        <w:t xml:space="preserve"> has committed to fostering a more competitive and transparent marketplace. Additionally, the company’s efforts to educate its staff on competition law and ensure ongoing compliance through reporting to the TCA demonstrate a proactive approach to addressing regulatory concerns.</w:t>
      </w:r>
    </w:p>
    <w:p w14:paraId="43049C0C" w14:textId="77777777" w:rsidR="00476753" w:rsidRPr="00476753" w:rsidRDefault="00476753" w:rsidP="00476753">
      <w:pPr>
        <w:jc w:val="both"/>
        <w:rPr>
          <w:rFonts w:ascii="Calibri" w:hAnsi="Calibri" w:cs="Calibri"/>
          <w:sz w:val="24"/>
          <w:szCs w:val="24"/>
        </w:rPr>
      </w:pPr>
      <w:r w:rsidRPr="00476753">
        <w:rPr>
          <w:rFonts w:ascii="Calibri" w:hAnsi="Calibri" w:cs="Calibri"/>
          <w:sz w:val="24"/>
          <w:szCs w:val="24"/>
        </w:rPr>
        <w:t xml:space="preserve">This case not only underscores the importance of maintaining fair competition in the digital economy but also exemplifies how regulatory frameworks can adapt to address the unique challenges posed by online platforms and automated pricing systems. The reasoned decision, which is yet to be published, will further shed light on the details of the competitive concerns identified and how the commitments proposed by </w:t>
      </w:r>
      <w:proofErr w:type="spellStart"/>
      <w:r w:rsidRPr="00476753">
        <w:rPr>
          <w:rFonts w:ascii="Calibri" w:hAnsi="Calibri" w:cs="Calibri"/>
          <w:sz w:val="24"/>
          <w:szCs w:val="24"/>
        </w:rPr>
        <w:t>Trendyol</w:t>
      </w:r>
      <w:proofErr w:type="spellEnd"/>
      <w:r w:rsidRPr="00476753">
        <w:rPr>
          <w:rFonts w:ascii="Calibri" w:hAnsi="Calibri" w:cs="Calibri"/>
          <w:sz w:val="24"/>
          <w:szCs w:val="24"/>
        </w:rPr>
        <w:t xml:space="preserve"> addressed them</w:t>
      </w:r>
    </w:p>
    <w:p w14:paraId="300D5AAD" w14:textId="3AF69012" w:rsidR="003909A6" w:rsidRPr="00476753" w:rsidRDefault="00476753">
      <w:pPr>
        <w:rPr>
          <w:rFonts w:ascii="Calibri" w:hAnsi="Calibri" w:cs="Calibri"/>
          <w:b/>
          <w:bCs/>
          <w:sz w:val="24"/>
          <w:szCs w:val="24"/>
        </w:rPr>
      </w:pPr>
      <w:r w:rsidRPr="00476753">
        <w:rPr>
          <w:rFonts w:ascii="Calibri" w:hAnsi="Calibri" w:cs="Calibri"/>
          <w:b/>
          <w:bCs/>
          <w:sz w:val="24"/>
          <w:szCs w:val="24"/>
        </w:rPr>
        <w:t>Footnote:</w:t>
      </w:r>
    </w:p>
    <w:p w14:paraId="7F17AD72" w14:textId="55CB93CA" w:rsidR="00476753" w:rsidRPr="00476753" w:rsidRDefault="00476753">
      <w:pPr>
        <w:rPr>
          <w:rFonts w:ascii="Calibri" w:hAnsi="Calibri" w:cs="Calibri"/>
          <w:sz w:val="24"/>
          <w:szCs w:val="24"/>
        </w:rPr>
      </w:pPr>
      <w:r w:rsidRPr="00476753">
        <w:rPr>
          <w:rFonts w:ascii="Calibri" w:hAnsi="Calibri" w:cs="Calibri"/>
          <w:sz w:val="24"/>
          <w:szCs w:val="24"/>
        </w:rPr>
        <w:t xml:space="preserve"> [1] </w:t>
      </w:r>
      <w:r w:rsidRPr="00476753">
        <w:rPr>
          <w:rFonts w:ascii="Calibri" w:hAnsi="Calibri" w:cs="Calibri"/>
          <w:sz w:val="24"/>
          <w:szCs w:val="24"/>
          <w:u w:val="single"/>
        </w:rPr>
        <w:t>https://www.rekabet.gov.tr/tr/Guncel/dsm-grup-danismanlik-iletisim-ve-satis-t-b3da5d0675adef1193d70050568585c9</w:t>
      </w:r>
    </w:p>
    <w:sectPr w:rsidR="00476753" w:rsidRPr="00476753" w:rsidSect="00155EE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C0B75" w14:textId="77777777" w:rsidR="00476753" w:rsidRDefault="00476753" w:rsidP="00476753">
      <w:pPr>
        <w:spacing w:after="0" w:line="240" w:lineRule="auto"/>
      </w:pPr>
      <w:r>
        <w:separator/>
      </w:r>
    </w:p>
  </w:endnote>
  <w:endnote w:type="continuationSeparator" w:id="0">
    <w:p w14:paraId="23283334" w14:textId="77777777" w:rsidR="00476753" w:rsidRDefault="00476753" w:rsidP="00476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3967572"/>
      <w:docPartObj>
        <w:docPartGallery w:val="Page Numbers (Bottom of Page)"/>
        <w:docPartUnique/>
      </w:docPartObj>
    </w:sdtPr>
    <w:sdtEndPr>
      <w:rPr>
        <w:rFonts w:ascii="Calibri" w:hAnsi="Calibri" w:cs="Calibri"/>
        <w:noProof/>
      </w:rPr>
    </w:sdtEndPr>
    <w:sdtContent>
      <w:p w14:paraId="347FFC21" w14:textId="784A6151" w:rsidR="00476753" w:rsidRPr="00476753" w:rsidRDefault="00476753">
        <w:pPr>
          <w:pStyle w:val="AltBilgi"/>
          <w:jc w:val="center"/>
          <w:rPr>
            <w:rFonts w:ascii="Calibri" w:hAnsi="Calibri" w:cs="Calibri"/>
          </w:rPr>
        </w:pPr>
        <w:r w:rsidRPr="00476753">
          <w:rPr>
            <w:rFonts w:ascii="Calibri" w:hAnsi="Calibri" w:cs="Calibri"/>
          </w:rPr>
          <w:fldChar w:fldCharType="begin"/>
        </w:r>
        <w:r w:rsidRPr="00476753">
          <w:rPr>
            <w:rFonts w:ascii="Calibri" w:hAnsi="Calibri" w:cs="Calibri"/>
          </w:rPr>
          <w:instrText xml:space="preserve"> PAGE   \* MERGEFORMAT </w:instrText>
        </w:r>
        <w:r w:rsidRPr="00476753">
          <w:rPr>
            <w:rFonts w:ascii="Calibri" w:hAnsi="Calibri" w:cs="Calibri"/>
          </w:rPr>
          <w:fldChar w:fldCharType="separate"/>
        </w:r>
        <w:r w:rsidRPr="00476753">
          <w:rPr>
            <w:rFonts w:ascii="Calibri" w:hAnsi="Calibri" w:cs="Calibri"/>
            <w:noProof/>
          </w:rPr>
          <w:t>2</w:t>
        </w:r>
        <w:r w:rsidRPr="00476753">
          <w:rPr>
            <w:rFonts w:ascii="Calibri" w:hAnsi="Calibri" w:cs="Calibri"/>
            <w:noProof/>
          </w:rPr>
          <w:fldChar w:fldCharType="end"/>
        </w:r>
      </w:p>
    </w:sdtContent>
  </w:sdt>
  <w:p w14:paraId="22579AF3" w14:textId="77777777" w:rsidR="00476753" w:rsidRDefault="0047675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DEAB1" w14:textId="77777777" w:rsidR="00476753" w:rsidRDefault="00476753" w:rsidP="00476753">
      <w:pPr>
        <w:spacing w:after="0" w:line="240" w:lineRule="auto"/>
      </w:pPr>
      <w:r>
        <w:separator/>
      </w:r>
    </w:p>
  </w:footnote>
  <w:footnote w:type="continuationSeparator" w:id="0">
    <w:p w14:paraId="4612A912" w14:textId="77777777" w:rsidR="00476753" w:rsidRDefault="00476753" w:rsidP="00476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A67059"/>
    <w:multiLevelType w:val="multilevel"/>
    <w:tmpl w:val="88C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1337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753"/>
    <w:rsid w:val="000F6E8A"/>
    <w:rsid w:val="00132C5D"/>
    <w:rsid w:val="00155EEB"/>
    <w:rsid w:val="003909A6"/>
    <w:rsid w:val="003D4F4C"/>
    <w:rsid w:val="003D7C5F"/>
    <w:rsid w:val="00415082"/>
    <w:rsid w:val="00464904"/>
    <w:rsid w:val="00476753"/>
    <w:rsid w:val="0061410F"/>
    <w:rsid w:val="00737E7A"/>
    <w:rsid w:val="007B393F"/>
    <w:rsid w:val="007B4197"/>
    <w:rsid w:val="008566D4"/>
    <w:rsid w:val="00C10D4A"/>
    <w:rsid w:val="00C9225C"/>
    <w:rsid w:val="00CC147F"/>
    <w:rsid w:val="00D075B4"/>
    <w:rsid w:val="00D3264D"/>
    <w:rsid w:val="00DB767A"/>
    <w:rsid w:val="00E95A60"/>
    <w:rsid w:val="00EB6FE5"/>
  </w:rsids>
  <m:mathPr>
    <m:mathFont m:val="Cambria Math"/>
    <m:brkBin m:val="before"/>
    <m:brkBinSub m:val="--"/>
    <m:smallFrac m:val="0"/>
    <m:dispDef/>
    <m:lMargin m:val="0"/>
    <m:rMargin m:val="0"/>
    <m:defJc m:val="centerGroup"/>
    <m:wrapIndent m:val="1440"/>
    <m:intLim m:val="subSup"/>
    <m:naryLim m:val="undOvr"/>
  </m:mathPr>
  <w:themeFontLang w:val="en-GB"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D2B44"/>
  <w15:chartTrackingRefBased/>
  <w15:docId w15:val="{695E0806-9B36-4003-BBAA-C75B0121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767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767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7675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7675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7675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7675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7675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7675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7675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7675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7675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7675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7675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7675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7675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7675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7675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76753"/>
    <w:rPr>
      <w:rFonts w:eastAsiaTheme="majorEastAsia" w:cstheme="majorBidi"/>
      <w:color w:val="272727" w:themeColor="text1" w:themeTint="D8"/>
    </w:rPr>
  </w:style>
  <w:style w:type="paragraph" w:styleId="KonuBal">
    <w:name w:val="Title"/>
    <w:basedOn w:val="Normal"/>
    <w:next w:val="Normal"/>
    <w:link w:val="KonuBalChar"/>
    <w:uiPriority w:val="10"/>
    <w:qFormat/>
    <w:rsid w:val="004767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7675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7675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7675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7675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76753"/>
    <w:rPr>
      <w:i/>
      <w:iCs/>
      <w:color w:val="404040" w:themeColor="text1" w:themeTint="BF"/>
    </w:rPr>
  </w:style>
  <w:style w:type="paragraph" w:styleId="ListeParagraf">
    <w:name w:val="List Paragraph"/>
    <w:basedOn w:val="Normal"/>
    <w:uiPriority w:val="34"/>
    <w:qFormat/>
    <w:rsid w:val="00476753"/>
    <w:pPr>
      <w:ind w:left="720"/>
      <w:contextualSpacing/>
    </w:pPr>
  </w:style>
  <w:style w:type="character" w:styleId="GlVurgulama">
    <w:name w:val="Intense Emphasis"/>
    <w:basedOn w:val="VarsaylanParagrafYazTipi"/>
    <w:uiPriority w:val="21"/>
    <w:qFormat/>
    <w:rsid w:val="00476753"/>
    <w:rPr>
      <w:i/>
      <w:iCs/>
      <w:color w:val="0F4761" w:themeColor="accent1" w:themeShade="BF"/>
    </w:rPr>
  </w:style>
  <w:style w:type="paragraph" w:styleId="GlAlnt">
    <w:name w:val="Intense Quote"/>
    <w:basedOn w:val="Normal"/>
    <w:next w:val="Normal"/>
    <w:link w:val="GlAlntChar"/>
    <w:uiPriority w:val="30"/>
    <w:qFormat/>
    <w:rsid w:val="004767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76753"/>
    <w:rPr>
      <w:i/>
      <w:iCs/>
      <w:color w:val="0F4761" w:themeColor="accent1" w:themeShade="BF"/>
    </w:rPr>
  </w:style>
  <w:style w:type="character" w:styleId="GlBavuru">
    <w:name w:val="Intense Reference"/>
    <w:basedOn w:val="VarsaylanParagrafYazTipi"/>
    <w:uiPriority w:val="32"/>
    <w:qFormat/>
    <w:rsid w:val="00476753"/>
    <w:rPr>
      <w:b/>
      <w:bCs/>
      <w:smallCaps/>
      <w:color w:val="0F4761" w:themeColor="accent1" w:themeShade="BF"/>
      <w:spacing w:val="5"/>
    </w:rPr>
  </w:style>
  <w:style w:type="character" w:styleId="Kpr">
    <w:name w:val="Hyperlink"/>
    <w:basedOn w:val="VarsaylanParagrafYazTipi"/>
    <w:uiPriority w:val="99"/>
    <w:unhideWhenUsed/>
    <w:rsid w:val="00476753"/>
    <w:rPr>
      <w:color w:val="467886" w:themeColor="hyperlink"/>
      <w:u w:val="single"/>
    </w:rPr>
  </w:style>
  <w:style w:type="character" w:styleId="zmlenmeyenBahsetme">
    <w:name w:val="Unresolved Mention"/>
    <w:basedOn w:val="VarsaylanParagrafYazTipi"/>
    <w:uiPriority w:val="99"/>
    <w:semiHidden/>
    <w:unhideWhenUsed/>
    <w:rsid w:val="00476753"/>
    <w:rPr>
      <w:color w:val="605E5C"/>
      <w:shd w:val="clear" w:color="auto" w:fill="E1DFDD"/>
    </w:rPr>
  </w:style>
  <w:style w:type="paragraph" w:styleId="stBilgi">
    <w:name w:val="header"/>
    <w:basedOn w:val="Normal"/>
    <w:link w:val="stBilgiChar"/>
    <w:uiPriority w:val="99"/>
    <w:unhideWhenUsed/>
    <w:rsid w:val="00476753"/>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476753"/>
  </w:style>
  <w:style w:type="paragraph" w:styleId="AltBilgi">
    <w:name w:val="footer"/>
    <w:basedOn w:val="Normal"/>
    <w:link w:val="AltBilgiChar"/>
    <w:uiPriority w:val="99"/>
    <w:unhideWhenUsed/>
    <w:rsid w:val="00476753"/>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476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20026">
      <w:bodyDiv w:val="1"/>
      <w:marLeft w:val="0"/>
      <w:marRight w:val="0"/>
      <w:marTop w:val="0"/>
      <w:marBottom w:val="0"/>
      <w:divBdr>
        <w:top w:val="none" w:sz="0" w:space="0" w:color="auto"/>
        <w:left w:val="none" w:sz="0" w:space="0" w:color="auto"/>
        <w:bottom w:val="none" w:sz="0" w:space="0" w:color="auto"/>
        <w:right w:val="none" w:sz="0" w:space="0" w:color="auto"/>
      </w:divBdr>
    </w:div>
    <w:div w:id="209802305">
      <w:bodyDiv w:val="1"/>
      <w:marLeft w:val="0"/>
      <w:marRight w:val="0"/>
      <w:marTop w:val="0"/>
      <w:marBottom w:val="0"/>
      <w:divBdr>
        <w:top w:val="none" w:sz="0" w:space="0" w:color="auto"/>
        <w:left w:val="none" w:sz="0" w:space="0" w:color="auto"/>
        <w:bottom w:val="none" w:sz="0" w:space="0" w:color="auto"/>
        <w:right w:val="none" w:sz="0" w:space="0" w:color="auto"/>
      </w:divBdr>
    </w:div>
    <w:div w:id="1883712484">
      <w:bodyDiv w:val="1"/>
      <w:marLeft w:val="0"/>
      <w:marRight w:val="0"/>
      <w:marTop w:val="0"/>
      <w:marBottom w:val="0"/>
      <w:divBdr>
        <w:top w:val="none" w:sz="0" w:space="0" w:color="auto"/>
        <w:left w:val="none" w:sz="0" w:space="0" w:color="auto"/>
        <w:bottom w:val="none" w:sz="0" w:space="0" w:color="auto"/>
        <w:right w:val="none" w:sz="0" w:space="0" w:color="auto"/>
      </w:divBdr>
    </w:div>
    <w:div w:id="197440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oncurrences.com/en/bulletin/news-issues/latest/the-turkish-competition-authority-concludes-its-investigation-into-an-o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1073</Words>
  <Characters>6118</Characters>
  <Application>Microsoft Office Word</Application>
  <DocSecurity>4</DocSecurity>
  <Lines>50</Lines>
  <Paragraphs>14</Paragraphs>
  <ScaleCrop>false</ScaleCrop>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ACTECON</dc:creator>
  <cp:keywords/>
  <dc:description/>
  <cp:lastModifiedBy>Serenay Kivik - ACTECON</cp:lastModifiedBy>
  <cp:revision>2</cp:revision>
  <dcterms:created xsi:type="dcterms:W3CDTF">2024-12-19T21:07:00Z</dcterms:created>
  <dcterms:modified xsi:type="dcterms:W3CDTF">2024-12-19T21:07:00Z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