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B1A1C" w14:textId="77777777" w:rsidR="00B22715" w:rsidRDefault="00B22715" w:rsidP="00B22715">
      <w:pPr>
        <w:jc w:val="both"/>
        <w:rPr>
          <w:rFonts w:ascii="Calibri" w:hAnsi="Calibri" w:cs="Calibri"/>
          <w:b/>
          <w:bCs/>
          <w:sz w:val="28"/>
          <w:szCs w:val="28"/>
        </w:rPr>
      </w:pPr>
      <w:r>
        <w:fldChar w:fldCharType="begin"/>
      </w:r>
      <w:r>
        <w:instrText>HYPERLINK "https://competitionlawblog.kluwercompetitionlaw.com/2024/12/05/corporate-liability-redefined-tcas-stance-on-employee-leaked-competitive-information/"</w:instrText>
      </w:r>
      <w:r>
        <w:fldChar w:fldCharType="separate"/>
      </w:r>
      <w:r w:rsidRPr="00B22715">
        <w:rPr>
          <w:rStyle w:val="Kpr"/>
          <w:rFonts w:ascii="Calibri" w:hAnsi="Calibri" w:cs="Calibri"/>
          <w:b/>
          <w:bCs/>
          <w:sz w:val="28"/>
          <w:szCs w:val="28"/>
        </w:rPr>
        <w:t>Corporate Liability Redefined: TCA’s Stance on Employee-Leaked Competitive Information</w:t>
      </w:r>
      <w:r>
        <w:rPr>
          <w:rStyle w:val="Kpr"/>
          <w:rFonts w:ascii="Calibri" w:hAnsi="Calibri" w:cs="Calibri"/>
          <w:b/>
          <w:bCs/>
          <w:sz w:val="28"/>
          <w:szCs w:val="28"/>
        </w:rPr>
        <w:fldChar w:fldCharType="end"/>
      </w:r>
    </w:p>
    <w:p w14:paraId="36889E7C" w14:textId="5EF42B62" w:rsidR="00B22715" w:rsidRPr="00B22715" w:rsidRDefault="00B22715" w:rsidP="00B22715">
      <w:pPr>
        <w:jc w:val="both"/>
        <w:rPr>
          <w:rFonts w:ascii="Calibri" w:hAnsi="Calibri" w:cs="Calibri"/>
          <w:b/>
          <w:bCs/>
          <w:sz w:val="24"/>
          <w:szCs w:val="24"/>
        </w:rPr>
      </w:pPr>
      <w:r w:rsidRPr="00B22715">
        <w:rPr>
          <w:rFonts w:ascii="Calibri" w:hAnsi="Calibri" w:cs="Calibri"/>
          <w:b/>
          <w:bCs/>
          <w:sz w:val="24"/>
          <w:szCs w:val="24"/>
        </w:rPr>
        <w:t>5.12.2024</w:t>
      </w:r>
    </w:p>
    <w:p w14:paraId="409F7BD4" w14:textId="71DC86DA" w:rsidR="00B22715" w:rsidRPr="00B22715" w:rsidRDefault="00B22715" w:rsidP="00B22715">
      <w:pPr>
        <w:jc w:val="both"/>
        <w:rPr>
          <w:rFonts w:ascii="Calibri" w:hAnsi="Calibri" w:cs="Calibri"/>
          <w:b/>
          <w:bCs/>
          <w:sz w:val="24"/>
          <w:szCs w:val="24"/>
        </w:rPr>
      </w:pPr>
      <w:r w:rsidRPr="00B22715">
        <w:rPr>
          <w:rFonts w:ascii="Calibri" w:hAnsi="Calibri" w:cs="Calibri"/>
          <w:b/>
          <w:bCs/>
          <w:sz w:val="24"/>
          <w:szCs w:val="24"/>
        </w:rPr>
        <w:t>Auth</w:t>
      </w:r>
      <w:r>
        <w:rPr>
          <w:rFonts w:ascii="Calibri" w:hAnsi="Calibri" w:cs="Calibri"/>
          <w:b/>
          <w:bCs/>
          <w:sz w:val="24"/>
          <w:szCs w:val="24"/>
        </w:rPr>
        <w:t xml:space="preserve">ors: </w:t>
      </w:r>
      <w:hyperlink r:id="rId6" w:history="1">
        <w:r w:rsidRPr="00B22715">
          <w:rPr>
            <w:rStyle w:val="Kpr"/>
            <w:rFonts w:ascii="Calibri" w:hAnsi="Calibri" w:cs="Calibri"/>
            <w:b/>
            <w:bCs/>
            <w:sz w:val="24"/>
            <w:szCs w:val="24"/>
          </w:rPr>
          <w:t xml:space="preserve">Caner K. </w:t>
        </w:r>
        <w:proofErr w:type="spellStart"/>
        <w:r w:rsidRPr="00B22715">
          <w:rPr>
            <w:rStyle w:val="Kpr"/>
            <w:rFonts w:ascii="Calibri" w:hAnsi="Calibri" w:cs="Calibri"/>
            <w:b/>
            <w:bCs/>
            <w:sz w:val="24"/>
            <w:szCs w:val="24"/>
          </w:rPr>
          <w:t>Çeşit</w:t>
        </w:r>
        <w:proofErr w:type="spellEnd"/>
      </w:hyperlink>
      <w:r w:rsidRPr="00B22715">
        <w:rPr>
          <w:rFonts w:ascii="Calibri" w:hAnsi="Calibri" w:cs="Calibri"/>
          <w:b/>
          <w:bCs/>
          <w:sz w:val="24"/>
          <w:szCs w:val="24"/>
        </w:rPr>
        <w:t>, </w:t>
      </w:r>
      <w:proofErr w:type="spellStart"/>
      <w:r>
        <w:fldChar w:fldCharType="begin"/>
      </w:r>
      <w:r>
        <w:instrText>HYPERLINK "https://competitionlawblog.kluwercompetitionlaw.com/author/gulbinserin1/"</w:instrText>
      </w:r>
      <w:r>
        <w:fldChar w:fldCharType="separate"/>
      </w:r>
      <w:r w:rsidRPr="00B22715">
        <w:rPr>
          <w:rStyle w:val="Kpr"/>
          <w:rFonts w:ascii="Calibri" w:hAnsi="Calibri" w:cs="Calibri"/>
          <w:b/>
          <w:bCs/>
          <w:sz w:val="24"/>
          <w:szCs w:val="24"/>
        </w:rPr>
        <w:t>Gülbin</w:t>
      </w:r>
      <w:proofErr w:type="spellEnd"/>
      <w:r w:rsidRPr="00B22715">
        <w:rPr>
          <w:rStyle w:val="Kpr"/>
          <w:rFonts w:ascii="Calibri" w:hAnsi="Calibri" w:cs="Calibri"/>
          <w:b/>
          <w:bCs/>
          <w:sz w:val="24"/>
          <w:szCs w:val="24"/>
        </w:rPr>
        <w:t xml:space="preserve"> Serin</w:t>
      </w:r>
      <w:r>
        <w:rPr>
          <w:rStyle w:val="Kpr"/>
          <w:rFonts w:ascii="Calibri" w:hAnsi="Calibri" w:cs="Calibri"/>
          <w:b/>
          <w:bCs/>
          <w:sz w:val="24"/>
          <w:szCs w:val="24"/>
        </w:rPr>
        <w:fldChar w:fldCharType="end"/>
      </w:r>
      <w:r w:rsidRPr="00B22715">
        <w:rPr>
          <w:rFonts w:ascii="Calibri" w:hAnsi="Calibri" w:cs="Calibri"/>
          <w:b/>
          <w:bCs/>
          <w:sz w:val="24"/>
          <w:szCs w:val="24"/>
        </w:rPr>
        <w:t>, </w:t>
      </w:r>
      <w:hyperlink r:id="rId7" w:history="1">
        <w:r w:rsidRPr="00B22715">
          <w:rPr>
            <w:rStyle w:val="Kpr"/>
            <w:rFonts w:ascii="Calibri" w:hAnsi="Calibri" w:cs="Calibri"/>
            <w:b/>
            <w:bCs/>
            <w:sz w:val="24"/>
            <w:szCs w:val="24"/>
          </w:rPr>
          <w:t>Yiğit Eryılmaz</w:t>
        </w:r>
      </w:hyperlink>
    </w:p>
    <w:p w14:paraId="70149324" w14:textId="77777777" w:rsidR="00B22715" w:rsidRDefault="00B22715" w:rsidP="00B22715">
      <w:pPr>
        <w:jc w:val="both"/>
        <w:rPr>
          <w:rFonts w:ascii="Calibri" w:hAnsi="Calibri" w:cs="Calibri"/>
          <w:b/>
          <w:bCs/>
          <w:sz w:val="24"/>
          <w:szCs w:val="24"/>
        </w:rPr>
      </w:pPr>
    </w:p>
    <w:p w14:paraId="7280B37D" w14:textId="342E5235" w:rsidR="00B22715" w:rsidRPr="00B22715" w:rsidRDefault="00B22715" w:rsidP="00B22715">
      <w:pPr>
        <w:jc w:val="both"/>
        <w:rPr>
          <w:rFonts w:ascii="Calibri" w:hAnsi="Calibri" w:cs="Calibri"/>
          <w:sz w:val="24"/>
          <w:szCs w:val="24"/>
        </w:rPr>
      </w:pPr>
      <w:r w:rsidRPr="00B22715">
        <w:rPr>
          <w:rFonts w:ascii="Calibri" w:hAnsi="Calibri" w:cs="Calibri"/>
          <w:b/>
          <w:bCs/>
          <w:sz w:val="24"/>
          <w:szCs w:val="24"/>
        </w:rPr>
        <w:t>Introduction</w:t>
      </w:r>
    </w:p>
    <w:p w14:paraId="4E72C3BC" w14:textId="77777777" w:rsidR="00B22715" w:rsidRPr="00B22715" w:rsidRDefault="00B22715" w:rsidP="00B22715">
      <w:pPr>
        <w:jc w:val="both"/>
        <w:rPr>
          <w:rFonts w:ascii="Calibri" w:hAnsi="Calibri" w:cs="Calibri"/>
          <w:sz w:val="24"/>
          <w:szCs w:val="24"/>
        </w:rPr>
      </w:pPr>
      <w:r w:rsidRPr="00B22715">
        <w:rPr>
          <w:rFonts w:ascii="Calibri" w:hAnsi="Calibri" w:cs="Calibri"/>
          <w:sz w:val="24"/>
          <w:szCs w:val="24"/>
        </w:rPr>
        <w:t>The recent decision of the Turkish Competition Authority (“</w:t>
      </w:r>
      <w:r w:rsidRPr="00B22715">
        <w:rPr>
          <w:rFonts w:ascii="Calibri" w:hAnsi="Calibri" w:cs="Calibri"/>
          <w:b/>
          <w:bCs/>
          <w:sz w:val="24"/>
          <w:szCs w:val="24"/>
        </w:rPr>
        <w:t>TCA</w:t>
      </w:r>
      <w:r w:rsidRPr="00B22715">
        <w:rPr>
          <w:rFonts w:ascii="Calibri" w:hAnsi="Calibri" w:cs="Calibri"/>
          <w:sz w:val="24"/>
          <w:szCs w:val="24"/>
        </w:rPr>
        <w:t xml:space="preserve">”) in its investigation into </w:t>
      </w:r>
      <w:proofErr w:type="spellStart"/>
      <w:r w:rsidRPr="00B22715">
        <w:rPr>
          <w:rFonts w:ascii="Calibri" w:hAnsi="Calibri" w:cs="Calibri"/>
          <w:sz w:val="24"/>
          <w:szCs w:val="24"/>
        </w:rPr>
        <w:t>Altıparmak</w:t>
      </w:r>
      <w:proofErr w:type="spellEnd"/>
      <w:r w:rsidRPr="00B22715">
        <w:rPr>
          <w:rFonts w:ascii="Calibri" w:hAnsi="Calibri" w:cs="Calibri"/>
          <w:sz w:val="24"/>
          <w:szCs w:val="24"/>
        </w:rPr>
        <w:t xml:space="preserve"> </w:t>
      </w:r>
      <w:proofErr w:type="spellStart"/>
      <w:r w:rsidRPr="00B22715">
        <w:rPr>
          <w:rFonts w:ascii="Calibri" w:hAnsi="Calibri" w:cs="Calibri"/>
          <w:sz w:val="24"/>
          <w:szCs w:val="24"/>
        </w:rPr>
        <w:t>Gıda</w:t>
      </w:r>
      <w:proofErr w:type="spellEnd"/>
      <w:r w:rsidRPr="00B22715">
        <w:rPr>
          <w:rFonts w:ascii="Calibri" w:hAnsi="Calibri" w:cs="Calibri"/>
          <w:sz w:val="24"/>
          <w:szCs w:val="24"/>
        </w:rPr>
        <w:t xml:space="preserve"> A.Ş. (“</w:t>
      </w:r>
      <w:proofErr w:type="spellStart"/>
      <w:r w:rsidRPr="00B22715">
        <w:rPr>
          <w:rFonts w:ascii="Calibri" w:hAnsi="Calibri" w:cs="Calibri"/>
          <w:b/>
          <w:bCs/>
          <w:sz w:val="24"/>
          <w:szCs w:val="24"/>
        </w:rPr>
        <w:t>Balparmak</w:t>
      </w:r>
      <w:proofErr w:type="spellEnd"/>
      <w:r w:rsidRPr="00B22715">
        <w:rPr>
          <w:rFonts w:ascii="Calibri" w:hAnsi="Calibri" w:cs="Calibri"/>
          <w:sz w:val="24"/>
          <w:szCs w:val="24"/>
        </w:rPr>
        <w:t xml:space="preserve">”) and Sezen </w:t>
      </w:r>
      <w:proofErr w:type="spellStart"/>
      <w:r w:rsidRPr="00B22715">
        <w:rPr>
          <w:rFonts w:ascii="Calibri" w:hAnsi="Calibri" w:cs="Calibri"/>
          <w:sz w:val="24"/>
          <w:szCs w:val="24"/>
        </w:rPr>
        <w:t>Gıda</w:t>
      </w:r>
      <w:proofErr w:type="spellEnd"/>
      <w:r w:rsidRPr="00B22715">
        <w:rPr>
          <w:rFonts w:ascii="Calibri" w:hAnsi="Calibri" w:cs="Calibri"/>
          <w:sz w:val="24"/>
          <w:szCs w:val="24"/>
        </w:rPr>
        <w:t xml:space="preserve"> Ltd. </w:t>
      </w:r>
      <w:proofErr w:type="spellStart"/>
      <w:r w:rsidRPr="00B22715">
        <w:rPr>
          <w:rFonts w:ascii="Calibri" w:hAnsi="Calibri" w:cs="Calibri"/>
          <w:sz w:val="24"/>
          <w:szCs w:val="24"/>
        </w:rPr>
        <w:t>Şti</w:t>
      </w:r>
      <w:proofErr w:type="spellEnd"/>
      <w:r w:rsidRPr="00B22715">
        <w:rPr>
          <w:rFonts w:ascii="Calibri" w:hAnsi="Calibri" w:cs="Calibri"/>
          <w:sz w:val="24"/>
          <w:szCs w:val="24"/>
        </w:rPr>
        <w:t>. (“</w:t>
      </w:r>
      <w:proofErr w:type="spellStart"/>
      <w:r w:rsidRPr="00B22715">
        <w:rPr>
          <w:rFonts w:ascii="Calibri" w:hAnsi="Calibri" w:cs="Calibri"/>
          <w:b/>
          <w:bCs/>
          <w:sz w:val="24"/>
          <w:szCs w:val="24"/>
        </w:rPr>
        <w:t>Anavarza</w:t>
      </w:r>
      <w:proofErr w:type="spellEnd"/>
      <w:r w:rsidRPr="00B22715">
        <w:rPr>
          <w:rFonts w:ascii="Calibri" w:hAnsi="Calibri" w:cs="Calibri"/>
          <w:sz w:val="24"/>
          <w:szCs w:val="24"/>
        </w:rPr>
        <w:t xml:space="preserve">”), prominent players in the bee products market, highlights a pivotal shift in corporate liability for employees’ anti-competitive </w:t>
      </w:r>
      <w:proofErr w:type="spellStart"/>
      <w:r w:rsidRPr="00B22715">
        <w:rPr>
          <w:rFonts w:ascii="Calibri" w:hAnsi="Calibri" w:cs="Calibri"/>
          <w:sz w:val="24"/>
          <w:szCs w:val="24"/>
        </w:rPr>
        <w:t>behaviour</w:t>
      </w:r>
      <w:proofErr w:type="spellEnd"/>
      <w:r w:rsidRPr="00B22715">
        <w:rPr>
          <w:rFonts w:ascii="Calibri" w:hAnsi="Calibri" w:cs="Calibri"/>
          <w:sz w:val="24"/>
          <w:szCs w:val="24"/>
        </w:rPr>
        <w:t xml:space="preserve"> when conducted without the company’s knowledge.</w:t>
      </w:r>
    </w:p>
    <w:p w14:paraId="23CBF0EB" w14:textId="77777777" w:rsidR="00B22715" w:rsidRPr="00B22715" w:rsidRDefault="00B22715" w:rsidP="00B22715">
      <w:pPr>
        <w:jc w:val="both"/>
        <w:rPr>
          <w:rFonts w:ascii="Calibri" w:hAnsi="Calibri" w:cs="Calibri"/>
          <w:sz w:val="24"/>
          <w:szCs w:val="24"/>
        </w:rPr>
      </w:pPr>
      <w:r w:rsidRPr="00B22715">
        <w:rPr>
          <w:rFonts w:ascii="Calibri" w:hAnsi="Calibri" w:cs="Calibri"/>
          <w:sz w:val="24"/>
          <w:szCs w:val="24"/>
        </w:rPr>
        <w:t>Unlike the approach to corporate liability taken in the </w:t>
      </w:r>
      <w:proofErr w:type="spellStart"/>
      <w:r>
        <w:fldChar w:fldCharType="begin"/>
      </w:r>
      <w:r>
        <w:instrText>HYPERLINK "https://www.rekabet.gov.tr/Karar?kararId=8c7e3596-b946-49b9-9a97-9f546349a798" \t "_blank"</w:instrText>
      </w:r>
      <w:r>
        <w:fldChar w:fldCharType="separate"/>
      </w:r>
      <w:r w:rsidRPr="00B22715">
        <w:rPr>
          <w:rStyle w:val="Kpr"/>
          <w:rFonts w:ascii="Calibri" w:hAnsi="Calibri" w:cs="Calibri"/>
          <w:b/>
          <w:bCs/>
          <w:sz w:val="24"/>
          <w:szCs w:val="24"/>
        </w:rPr>
        <w:t>Arçelik</w:t>
      </w:r>
      <w:proofErr w:type="spellEnd"/>
      <w:r w:rsidRPr="00B22715">
        <w:rPr>
          <w:rStyle w:val="Kpr"/>
          <w:rFonts w:ascii="Calibri" w:hAnsi="Calibri" w:cs="Calibri"/>
          <w:b/>
          <w:bCs/>
          <w:sz w:val="24"/>
          <w:szCs w:val="24"/>
        </w:rPr>
        <w:t>/Vestel</w:t>
      </w:r>
      <w:r>
        <w:rPr>
          <w:rStyle w:val="Kpr"/>
          <w:rFonts w:ascii="Calibri" w:hAnsi="Calibri" w:cs="Calibri"/>
          <w:b/>
          <w:bCs/>
          <w:sz w:val="24"/>
          <w:szCs w:val="24"/>
        </w:rPr>
        <w:fldChar w:fldCharType="end"/>
      </w:r>
      <w:r w:rsidRPr="00B22715">
        <w:rPr>
          <w:rFonts w:ascii="Calibri" w:hAnsi="Calibri" w:cs="Calibri"/>
          <w:sz w:val="24"/>
          <w:szCs w:val="24"/>
        </w:rPr>
        <w:t xml:space="preserve"> case, where proactive compliance measures absolved an undertaking of liability, the TCA held </w:t>
      </w:r>
      <w:proofErr w:type="spellStart"/>
      <w:r w:rsidRPr="00B22715">
        <w:rPr>
          <w:rFonts w:ascii="Calibri" w:hAnsi="Calibri" w:cs="Calibri"/>
          <w:sz w:val="24"/>
          <w:szCs w:val="24"/>
        </w:rPr>
        <w:t>Balparmak</w:t>
      </w:r>
      <w:proofErr w:type="spellEnd"/>
      <w:r w:rsidRPr="00B22715">
        <w:rPr>
          <w:rFonts w:ascii="Calibri" w:hAnsi="Calibri" w:cs="Calibri"/>
          <w:sz w:val="24"/>
          <w:szCs w:val="24"/>
        </w:rPr>
        <w:t xml:space="preserve"> accountable for an employee’s unilateral disclosure of competitively sensitive information to a competitor. This illustrates a growing expectation for businesses to not only establish rigorous compliance frameworks but also actively monitor and address potential breaches to mitigate liability.</w:t>
      </w:r>
    </w:p>
    <w:p w14:paraId="61E6373E" w14:textId="77777777" w:rsidR="00B22715" w:rsidRPr="00B22715" w:rsidRDefault="00B22715" w:rsidP="00B22715">
      <w:pPr>
        <w:jc w:val="both"/>
        <w:rPr>
          <w:rFonts w:ascii="Calibri" w:hAnsi="Calibri" w:cs="Calibri"/>
          <w:sz w:val="24"/>
          <w:szCs w:val="24"/>
        </w:rPr>
      </w:pPr>
      <w:r w:rsidRPr="00B22715">
        <w:rPr>
          <w:rFonts w:ascii="Calibri" w:hAnsi="Calibri" w:cs="Calibri"/>
          <w:sz w:val="24"/>
          <w:szCs w:val="24"/>
        </w:rPr>
        <w:t>As a background note, the TCA initiated an </w:t>
      </w:r>
      <w:r w:rsidRPr="00B22715">
        <w:rPr>
          <w:rFonts w:ascii="Calibri" w:hAnsi="Calibri" w:cs="Calibri"/>
          <w:i/>
          <w:iCs/>
          <w:sz w:val="24"/>
          <w:szCs w:val="24"/>
        </w:rPr>
        <w:t>ex officio</w:t>
      </w:r>
      <w:r w:rsidRPr="00B22715">
        <w:rPr>
          <w:rFonts w:ascii="Calibri" w:hAnsi="Calibri" w:cs="Calibri"/>
          <w:sz w:val="24"/>
          <w:szCs w:val="24"/>
        </w:rPr>
        <w:t xml:space="preserve"> investigation against </w:t>
      </w:r>
      <w:proofErr w:type="spellStart"/>
      <w:r w:rsidRPr="00B22715">
        <w:rPr>
          <w:rFonts w:ascii="Calibri" w:hAnsi="Calibri" w:cs="Calibri"/>
          <w:sz w:val="24"/>
          <w:szCs w:val="24"/>
        </w:rPr>
        <w:t>Balparmak</w:t>
      </w:r>
      <w:proofErr w:type="spellEnd"/>
      <w:r w:rsidRPr="00B22715">
        <w:rPr>
          <w:rFonts w:ascii="Calibri" w:hAnsi="Calibri" w:cs="Calibri"/>
          <w:sz w:val="24"/>
          <w:szCs w:val="24"/>
        </w:rPr>
        <w:t xml:space="preserve"> and </w:t>
      </w:r>
      <w:proofErr w:type="spellStart"/>
      <w:r w:rsidRPr="00B22715">
        <w:rPr>
          <w:rFonts w:ascii="Calibri" w:hAnsi="Calibri" w:cs="Calibri"/>
          <w:sz w:val="24"/>
          <w:szCs w:val="24"/>
        </w:rPr>
        <w:t>Anavarza</w:t>
      </w:r>
      <w:proofErr w:type="spellEnd"/>
      <w:r w:rsidRPr="00B22715">
        <w:rPr>
          <w:rFonts w:ascii="Calibri" w:hAnsi="Calibri" w:cs="Calibri"/>
          <w:sz w:val="24"/>
          <w:szCs w:val="24"/>
        </w:rPr>
        <w:t xml:space="preserve"> to determine whether they have violated Article 4 of the Law No. 4054 on the Protection of Competition (“</w:t>
      </w:r>
      <w:r w:rsidRPr="00B22715">
        <w:rPr>
          <w:rFonts w:ascii="Calibri" w:hAnsi="Calibri" w:cs="Calibri"/>
          <w:b/>
          <w:bCs/>
          <w:sz w:val="24"/>
          <w:szCs w:val="24"/>
        </w:rPr>
        <w:t>Competition Law</w:t>
      </w:r>
      <w:r w:rsidRPr="00B22715">
        <w:rPr>
          <w:rFonts w:ascii="Calibri" w:hAnsi="Calibri" w:cs="Calibri"/>
          <w:sz w:val="24"/>
          <w:szCs w:val="24"/>
        </w:rPr>
        <w:t>”) by way of exchanging competitively sensitive information. While </w:t>
      </w:r>
      <w:proofErr w:type="spellStart"/>
      <w:r>
        <w:fldChar w:fldCharType="begin"/>
      </w:r>
      <w:r>
        <w:instrText>HYPERLINK "https://www.rekabet.gov.tr/Karar?kararId=b2f92cc0-fcd6-4815-834f-15145584208a" \t "_blank"</w:instrText>
      </w:r>
      <w:r>
        <w:fldChar w:fldCharType="separate"/>
      </w:r>
      <w:r w:rsidRPr="00B22715">
        <w:rPr>
          <w:rStyle w:val="Kpr"/>
          <w:rFonts w:ascii="Calibri" w:hAnsi="Calibri" w:cs="Calibri"/>
          <w:b/>
          <w:bCs/>
          <w:sz w:val="24"/>
          <w:szCs w:val="24"/>
        </w:rPr>
        <w:t>Anavarza</w:t>
      </w:r>
      <w:proofErr w:type="spellEnd"/>
      <w:r>
        <w:rPr>
          <w:rStyle w:val="Kpr"/>
          <w:rFonts w:ascii="Calibri" w:hAnsi="Calibri" w:cs="Calibri"/>
          <w:b/>
          <w:bCs/>
          <w:sz w:val="24"/>
          <w:szCs w:val="24"/>
        </w:rPr>
        <w:fldChar w:fldCharType="end"/>
      </w:r>
      <w:r w:rsidRPr="00B22715">
        <w:rPr>
          <w:rFonts w:ascii="Calibri" w:hAnsi="Calibri" w:cs="Calibri"/>
          <w:sz w:val="24"/>
          <w:szCs w:val="24"/>
        </w:rPr>
        <w:t> settled with a fine of TRY 513,329.91 (approx. EUR 20,028), </w:t>
      </w:r>
      <w:proofErr w:type="spellStart"/>
      <w:r>
        <w:fldChar w:fldCharType="begin"/>
      </w:r>
      <w:r>
        <w:instrText>HYPERLINK "https://www.rekabet.gov.tr/Karar?kararId=f62f491c-4063-471e-b269-994e95769a28" \t "_blank"</w:instrText>
      </w:r>
      <w:r>
        <w:fldChar w:fldCharType="separate"/>
      </w:r>
      <w:r w:rsidRPr="00B22715">
        <w:rPr>
          <w:rStyle w:val="Kpr"/>
          <w:rFonts w:ascii="Calibri" w:hAnsi="Calibri" w:cs="Calibri"/>
          <w:b/>
          <w:bCs/>
          <w:sz w:val="24"/>
          <w:szCs w:val="24"/>
        </w:rPr>
        <w:t>Balparmak</w:t>
      </w:r>
      <w:r>
        <w:rPr>
          <w:rStyle w:val="Kpr"/>
          <w:rFonts w:ascii="Calibri" w:hAnsi="Calibri" w:cs="Calibri"/>
          <w:b/>
          <w:bCs/>
          <w:sz w:val="24"/>
          <w:szCs w:val="24"/>
        </w:rPr>
        <w:fldChar w:fldCharType="end"/>
      </w:r>
      <w:r w:rsidRPr="00B22715">
        <w:rPr>
          <w:rFonts w:ascii="Calibri" w:hAnsi="Calibri" w:cs="Calibri"/>
          <w:sz w:val="24"/>
          <w:szCs w:val="24"/>
        </w:rPr>
        <w:t>’s</w:t>
      </w:r>
      <w:proofErr w:type="spellEnd"/>
      <w:r w:rsidRPr="00B22715">
        <w:rPr>
          <w:rFonts w:ascii="Calibri" w:hAnsi="Calibri" w:cs="Calibri"/>
          <w:sz w:val="24"/>
          <w:szCs w:val="24"/>
        </w:rPr>
        <w:t xml:space="preserve"> withdrawal from the settlement process led to a fine of TRY 2,477,859.92 (approx. EUR 96,678).</w:t>
      </w:r>
    </w:p>
    <w:p w14:paraId="57E2377D" w14:textId="77777777" w:rsidR="00B22715" w:rsidRPr="00B22715" w:rsidRDefault="00B22715" w:rsidP="00B22715">
      <w:pPr>
        <w:jc w:val="both"/>
        <w:rPr>
          <w:rFonts w:ascii="Calibri" w:hAnsi="Calibri" w:cs="Calibri"/>
          <w:sz w:val="24"/>
          <w:szCs w:val="24"/>
        </w:rPr>
      </w:pPr>
      <w:r w:rsidRPr="00B22715">
        <w:rPr>
          <w:rFonts w:ascii="Calibri" w:hAnsi="Calibri" w:cs="Calibri"/>
          <w:sz w:val="24"/>
          <w:szCs w:val="24"/>
        </w:rPr>
        <w:t>The case is particularly noteworthy as it signals the TCA’s stricter stance to corporate accountability, irrespective of whether the conduct occurred with or without the company’s knowledge or authorization. This emphasizes the critical importance of proactive corporate responsibility in ensuring compliance with competition rules.</w:t>
      </w:r>
    </w:p>
    <w:p w14:paraId="1C779AD1" w14:textId="77777777" w:rsidR="00B22715" w:rsidRPr="00B22715" w:rsidRDefault="00B22715" w:rsidP="00B22715">
      <w:pPr>
        <w:jc w:val="both"/>
        <w:rPr>
          <w:rFonts w:ascii="Calibri" w:hAnsi="Calibri" w:cs="Calibri"/>
          <w:sz w:val="24"/>
          <w:szCs w:val="24"/>
        </w:rPr>
      </w:pPr>
      <w:r w:rsidRPr="00B22715">
        <w:rPr>
          <w:rFonts w:ascii="Calibri" w:hAnsi="Calibri" w:cs="Calibri"/>
          <w:sz w:val="24"/>
          <w:szCs w:val="24"/>
        </w:rPr>
        <w:t> </w:t>
      </w:r>
    </w:p>
    <w:p w14:paraId="337B06B0" w14:textId="77777777" w:rsidR="00B22715" w:rsidRPr="00B22715" w:rsidRDefault="00B22715" w:rsidP="00B22715">
      <w:pPr>
        <w:jc w:val="both"/>
        <w:rPr>
          <w:rFonts w:ascii="Calibri" w:hAnsi="Calibri" w:cs="Calibri"/>
          <w:sz w:val="24"/>
          <w:szCs w:val="24"/>
        </w:rPr>
      </w:pPr>
      <w:r w:rsidRPr="00B22715">
        <w:rPr>
          <w:rFonts w:ascii="Calibri" w:hAnsi="Calibri" w:cs="Calibri"/>
          <w:b/>
          <w:bCs/>
          <w:sz w:val="24"/>
          <w:szCs w:val="24"/>
        </w:rPr>
        <w:t>Assessment of Unilateral Disclosure of Future Price Information</w:t>
      </w:r>
    </w:p>
    <w:p w14:paraId="11BC61B6" w14:textId="77777777" w:rsidR="00B22715" w:rsidRPr="00B22715" w:rsidRDefault="00B22715" w:rsidP="00B22715">
      <w:pPr>
        <w:jc w:val="both"/>
        <w:rPr>
          <w:rFonts w:ascii="Calibri" w:hAnsi="Calibri" w:cs="Calibri"/>
          <w:sz w:val="24"/>
          <w:szCs w:val="24"/>
        </w:rPr>
      </w:pPr>
      <w:r w:rsidRPr="00B22715">
        <w:rPr>
          <w:rFonts w:ascii="Calibri" w:hAnsi="Calibri" w:cs="Calibri"/>
          <w:sz w:val="24"/>
          <w:szCs w:val="24"/>
        </w:rPr>
        <w:t xml:space="preserve">In assessing </w:t>
      </w:r>
      <w:proofErr w:type="spellStart"/>
      <w:r w:rsidRPr="00B22715">
        <w:rPr>
          <w:rFonts w:ascii="Calibri" w:hAnsi="Calibri" w:cs="Calibri"/>
          <w:sz w:val="24"/>
          <w:szCs w:val="24"/>
        </w:rPr>
        <w:t>Balparmak’s</w:t>
      </w:r>
      <w:proofErr w:type="spellEnd"/>
      <w:r w:rsidRPr="00B22715">
        <w:rPr>
          <w:rFonts w:ascii="Calibri" w:hAnsi="Calibri" w:cs="Calibri"/>
          <w:sz w:val="24"/>
          <w:szCs w:val="24"/>
        </w:rPr>
        <w:t xml:space="preserve"> conduct under competition rules, the TCA evaluated documents obtained during on-site inspections, revealing communication between </w:t>
      </w:r>
      <w:proofErr w:type="spellStart"/>
      <w:r w:rsidRPr="00B22715">
        <w:rPr>
          <w:rFonts w:ascii="Calibri" w:hAnsi="Calibri" w:cs="Calibri"/>
          <w:sz w:val="24"/>
          <w:szCs w:val="24"/>
        </w:rPr>
        <w:t>Balparmak’s</w:t>
      </w:r>
      <w:proofErr w:type="spellEnd"/>
      <w:r w:rsidRPr="00B22715">
        <w:rPr>
          <w:rFonts w:ascii="Calibri" w:hAnsi="Calibri" w:cs="Calibri"/>
          <w:sz w:val="24"/>
          <w:szCs w:val="24"/>
        </w:rPr>
        <w:t xml:space="preserve"> Sales Manager and </w:t>
      </w:r>
      <w:proofErr w:type="spellStart"/>
      <w:r w:rsidRPr="00B22715">
        <w:rPr>
          <w:rFonts w:ascii="Calibri" w:hAnsi="Calibri" w:cs="Calibri"/>
          <w:sz w:val="24"/>
          <w:szCs w:val="24"/>
        </w:rPr>
        <w:t>Anavarza’s</w:t>
      </w:r>
      <w:proofErr w:type="spellEnd"/>
      <w:r w:rsidRPr="00B22715">
        <w:rPr>
          <w:rFonts w:ascii="Calibri" w:hAnsi="Calibri" w:cs="Calibri"/>
          <w:sz w:val="24"/>
          <w:szCs w:val="24"/>
        </w:rPr>
        <w:t xml:space="preserve"> Marmara Regional Sales Manager. The TCA assessed that these documents indicated that </w:t>
      </w:r>
      <w:proofErr w:type="spellStart"/>
      <w:r w:rsidRPr="00B22715">
        <w:rPr>
          <w:rFonts w:ascii="Calibri" w:hAnsi="Calibri" w:cs="Calibri"/>
          <w:sz w:val="24"/>
          <w:szCs w:val="24"/>
        </w:rPr>
        <w:t>Balparmak</w:t>
      </w:r>
      <w:proofErr w:type="spellEnd"/>
      <w:r w:rsidRPr="00B22715">
        <w:rPr>
          <w:rFonts w:ascii="Calibri" w:hAnsi="Calibri" w:cs="Calibri"/>
          <w:sz w:val="24"/>
          <w:szCs w:val="24"/>
        </w:rPr>
        <w:t xml:space="preserve"> had shared its future price lists with </w:t>
      </w:r>
      <w:proofErr w:type="spellStart"/>
      <w:r w:rsidRPr="00B22715">
        <w:rPr>
          <w:rFonts w:ascii="Calibri" w:hAnsi="Calibri" w:cs="Calibri"/>
          <w:sz w:val="24"/>
          <w:szCs w:val="24"/>
        </w:rPr>
        <w:t>Anavarza</w:t>
      </w:r>
      <w:proofErr w:type="spellEnd"/>
      <w:r w:rsidRPr="00B22715">
        <w:rPr>
          <w:rFonts w:ascii="Calibri" w:hAnsi="Calibri" w:cs="Calibri"/>
          <w:sz w:val="24"/>
          <w:szCs w:val="24"/>
        </w:rPr>
        <w:t xml:space="preserve"> on multiple occasions between December 2020 and December 2022. This information, including </w:t>
      </w:r>
      <w:proofErr w:type="spellStart"/>
      <w:r w:rsidRPr="00B22715">
        <w:rPr>
          <w:rFonts w:ascii="Calibri" w:hAnsi="Calibri" w:cs="Calibri"/>
          <w:sz w:val="24"/>
          <w:szCs w:val="24"/>
        </w:rPr>
        <w:t>Balparmak’s</w:t>
      </w:r>
      <w:proofErr w:type="spellEnd"/>
      <w:r w:rsidRPr="00B22715">
        <w:rPr>
          <w:rFonts w:ascii="Calibri" w:hAnsi="Calibri" w:cs="Calibri"/>
          <w:sz w:val="24"/>
          <w:szCs w:val="24"/>
        </w:rPr>
        <w:t xml:space="preserve"> planned price increases and future pricing details, was transmitted via emails, revealing a coordinated pattern of information disclosure. The TCA found that this disclosure of forward-looking strategic information restricted competition by allowing competitors to align their pricing strategies and thereby facilitating greater coordination.</w:t>
      </w:r>
    </w:p>
    <w:p w14:paraId="02FD3972" w14:textId="77777777" w:rsidR="00B22715" w:rsidRPr="00B22715" w:rsidRDefault="00B22715" w:rsidP="00B22715">
      <w:pPr>
        <w:jc w:val="both"/>
        <w:rPr>
          <w:rFonts w:ascii="Calibri" w:hAnsi="Calibri" w:cs="Calibri"/>
          <w:sz w:val="24"/>
          <w:szCs w:val="24"/>
        </w:rPr>
      </w:pPr>
      <w:r w:rsidRPr="00B22715">
        <w:rPr>
          <w:rFonts w:ascii="Calibri" w:hAnsi="Calibri" w:cs="Calibri"/>
          <w:sz w:val="24"/>
          <w:szCs w:val="24"/>
        </w:rPr>
        <w:lastRenderedPageBreak/>
        <w:t xml:space="preserve">Further, </w:t>
      </w:r>
      <w:proofErr w:type="spellStart"/>
      <w:r w:rsidRPr="00B22715">
        <w:rPr>
          <w:rFonts w:ascii="Calibri" w:hAnsi="Calibri" w:cs="Calibri"/>
          <w:sz w:val="24"/>
          <w:szCs w:val="24"/>
        </w:rPr>
        <w:t>Anavarza’s</w:t>
      </w:r>
      <w:proofErr w:type="spellEnd"/>
      <w:r w:rsidRPr="00B22715">
        <w:rPr>
          <w:rFonts w:ascii="Calibri" w:hAnsi="Calibri" w:cs="Calibri"/>
          <w:sz w:val="24"/>
          <w:szCs w:val="24"/>
        </w:rPr>
        <w:t xml:space="preserve"> internal records showed that the future pricing insights and related analyses from </w:t>
      </w:r>
      <w:proofErr w:type="spellStart"/>
      <w:r w:rsidRPr="00B22715">
        <w:rPr>
          <w:rFonts w:ascii="Calibri" w:hAnsi="Calibri" w:cs="Calibri"/>
          <w:sz w:val="24"/>
          <w:szCs w:val="24"/>
        </w:rPr>
        <w:t>Balparmak</w:t>
      </w:r>
      <w:proofErr w:type="spellEnd"/>
      <w:r w:rsidRPr="00B22715">
        <w:rPr>
          <w:rFonts w:ascii="Calibri" w:hAnsi="Calibri" w:cs="Calibri"/>
          <w:sz w:val="24"/>
          <w:szCs w:val="24"/>
        </w:rPr>
        <w:t xml:space="preserve"> were reported to its top management, indicating that </w:t>
      </w:r>
      <w:proofErr w:type="spellStart"/>
      <w:r w:rsidRPr="00B22715">
        <w:rPr>
          <w:rFonts w:ascii="Calibri" w:hAnsi="Calibri" w:cs="Calibri"/>
          <w:sz w:val="24"/>
          <w:szCs w:val="24"/>
        </w:rPr>
        <w:t>Anavarza</w:t>
      </w:r>
      <w:proofErr w:type="spellEnd"/>
      <w:r w:rsidRPr="00B22715">
        <w:rPr>
          <w:rFonts w:ascii="Calibri" w:hAnsi="Calibri" w:cs="Calibri"/>
          <w:sz w:val="24"/>
          <w:szCs w:val="24"/>
        </w:rPr>
        <w:t xml:space="preserve"> </w:t>
      </w:r>
      <w:proofErr w:type="spellStart"/>
      <w:r w:rsidRPr="00B22715">
        <w:rPr>
          <w:rFonts w:ascii="Calibri" w:hAnsi="Calibri" w:cs="Calibri"/>
          <w:sz w:val="24"/>
          <w:szCs w:val="24"/>
        </w:rPr>
        <w:t>utilised</w:t>
      </w:r>
      <w:proofErr w:type="spellEnd"/>
      <w:r w:rsidRPr="00B22715">
        <w:rPr>
          <w:rFonts w:ascii="Calibri" w:hAnsi="Calibri" w:cs="Calibri"/>
          <w:sz w:val="24"/>
          <w:szCs w:val="24"/>
        </w:rPr>
        <w:t xml:space="preserve"> this information to shape its strategic decisions.</w:t>
      </w:r>
    </w:p>
    <w:p w14:paraId="479171FA" w14:textId="77777777" w:rsidR="00B22715" w:rsidRPr="00B22715" w:rsidRDefault="00B22715" w:rsidP="00B22715">
      <w:pPr>
        <w:jc w:val="both"/>
        <w:rPr>
          <w:rFonts w:ascii="Calibri" w:hAnsi="Calibri" w:cs="Calibri"/>
          <w:sz w:val="24"/>
          <w:szCs w:val="24"/>
        </w:rPr>
      </w:pPr>
      <w:r w:rsidRPr="00B22715">
        <w:rPr>
          <w:rFonts w:ascii="Calibri" w:hAnsi="Calibri" w:cs="Calibri"/>
          <w:sz w:val="24"/>
          <w:szCs w:val="24"/>
        </w:rPr>
        <w:t xml:space="preserve">The TCA concluded that </w:t>
      </w:r>
      <w:proofErr w:type="spellStart"/>
      <w:r w:rsidRPr="00B22715">
        <w:rPr>
          <w:rFonts w:ascii="Calibri" w:hAnsi="Calibri" w:cs="Calibri"/>
          <w:sz w:val="24"/>
          <w:szCs w:val="24"/>
        </w:rPr>
        <w:t>Balparmak’s</w:t>
      </w:r>
      <w:proofErr w:type="spellEnd"/>
      <w:r w:rsidRPr="00B22715">
        <w:rPr>
          <w:rFonts w:ascii="Calibri" w:hAnsi="Calibri" w:cs="Calibri"/>
          <w:sz w:val="24"/>
          <w:szCs w:val="24"/>
        </w:rPr>
        <w:t xml:space="preserve"> unilateral disclosure of future pricing information enhanced market transparency, enabling </w:t>
      </w:r>
      <w:proofErr w:type="spellStart"/>
      <w:r w:rsidRPr="00B22715">
        <w:rPr>
          <w:rFonts w:ascii="Calibri" w:hAnsi="Calibri" w:cs="Calibri"/>
          <w:sz w:val="24"/>
          <w:szCs w:val="24"/>
        </w:rPr>
        <w:t>Anavarza</w:t>
      </w:r>
      <w:proofErr w:type="spellEnd"/>
      <w:r w:rsidRPr="00B22715">
        <w:rPr>
          <w:rFonts w:ascii="Calibri" w:hAnsi="Calibri" w:cs="Calibri"/>
          <w:sz w:val="24"/>
          <w:szCs w:val="24"/>
        </w:rPr>
        <w:t xml:space="preserve"> to adjust its pricing and sales strategies accordingly. Importantly, there was no evidence of a reciprocal information exchange, as no information flowed from </w:t>
      </w:r>
      <w:proofErr w:type="spellStart"/>
      <w:r w:rsidRPr="00B22715">
        <w:rPr>
          <w:rFonts w:ascii="Calibri" w:hAnsi="Calibri" w:cs="Calibri"/>
          <w:sz w:val="24"/>
          <w:szCs w:val="24"/>
        </w:rPr>
        <w:t>Anavarza</w:t>
      </w:r>
      <w:proofErr w:type="spellEnd"/>
      <w:r w:rsidRPr="00B22715">
        <w:rPr>
          <w:rFonts w:ascii="Calibri" w:hAnsi="Calibri" w:cs="Calibri"/>
          <w:sz w:val="24"/>
          <w:szCs w:val="24"/>
        </w:rPr>
        <w:t xml:space="preserve"> to </w:t>
      </w:r>
      <w:proofErr w:type="spellStart"/>
      <w:r w:rsidRPr="00B22715">
        <w:rPr>
          <w:rFonts w:ascii="Calibri" w:hAnsi="Calibri" w:cs="Calibri"/>
          <w:sz w:val="24"/>
          <w:szCs w:val="24"/>
        </w:rPr>
        <w:t>Balparmak</w:t>
      </w:r>
      <w:proofErr w:type="spellEnd"/>
      <w:r w:rsidRPr="00B22715">
        <w:rPr>
          <w:rFonts w:ascii="Calibri" w:hAnsi="Calibri" w:cs="Calibri"/>
          <w:sz w:val="24"/>
          <w:szCs w:val="24"/>
        </w:rPr>
        <w:t xml:space="preserve">. Such disclosure solely benefited </w:t>
      </w:r>
      <w:proofErr w:type="spellStart"/>
      <w:r w:rsidRPr="00B22715">
        <w:rPr>
          <w:rFonts w:ascii="Calibri" w:hAnsi="Calibri" w:cs="Calibri"/>
          <w:sz w:val="24"/>
          <w:szCs w:val="24"/>
        </w:rPr>
        <w:t>Anavarza</w:t>
      </w:r>
      <w:proofErr w:type="spellEnd"/>
      <w:r w:rsidRPr="00B22715">
        <w:rPr>
          <w:rFonts w:ascii="Calibri" w:hAnsi="Calibri" w:cs="Calibri"/>
          <w:sz w:val="24"/>
          <w:szCs w:val="24"/>
        </w:rPr>
        <w:t xml:space="preserve"> by reducing market uncertainty. The TCA ultimately determined that </w:t>
      </w:r>
      <w:proofErr w:type="spellStart"/>
      <w:r w:rsidRPr="00B22715">
        <w:rPr>
          <w:rFonts w:ascii="Calibri" w:hAnsi="Calibri" w:cs="Calibri"/>
          <w:sz w:val="24"/>
          <w:szCs w:val="24"/>
        </w:rPr>
        <w:t>Anavarza’s</w:t>
      </w:r>
      <w:proofErr w:type="spellEnd"/>
      <w:r w:rsidRPr="00B22715">
        <w:rPr>
          <w:rFonts w:ascii="Calibri" w:hAnsi="Calibri" w:cs="Calibri"/>
          <w:sz w:val="24"/>
          <w:szCs w:val="24"/>
        </w:rPr>
        <w:t xml:space="preserve"> access to </w:t>
      </w:r>
      <w:proofErr w:type="spellStart"/>
      <w:r w:rsidRPr="00B22715">
        <w:rPr>
          <w:rFonts w:ascii="Calibri" w:hAnsi="Calibri" w:cs="Calibri"/>
          <w:sz w:val="24"/>
          <w:szCs w:val="24"/>
        </w:rPr>
        <w:t>Balparmak’s</w:t>
      </w:r>
      <w:proofErr w:type="spellEnd"/>
      <w:r w:rsidRPr="00B22715">
        <w:rPr>
          <w:rFonts w:ascii="Calibri" w:hAnsi="Calibri" w:cs="Calibri"/>
          <w:sz w:val="24"/>
          <w:szCs w:val="24"/>
        </w:rPr>
        <w:t xml:space="preserve"> future price lists and price revision schedules undermined its independence in setting its own strategies, constituting a competition law violation, even in the absence of an explicit agreement or mutual exchange.</w:t>
      </w:r>
    </w:p>
    <w:p w14:paraId="31CE5A11" w14:textId="77777777" w:rsidR="00B22715" w:rsidRPr="00B22715" w:rsidRDefault="00B22715" w:rsidP="00B22715">
      <w:pPr>
        <w:jc w:val="both"/>
        <w:rPr>
          <w:rFonts w:ascii="Calibri" w:hAnsi="Calibri" w:cs="Calibri"/>
          <w:sz w:val="24"/>
          <w:szCs w:val="24"/>
        </w:rPr>
      </w:pPr>
      <w:r w:rsidRPr="00B22715">
        <w:rPr>
          <w:rFonts w:ascii="Calibri" w:hAnsi="Calibri" w:cs="Calibri"/>
          <w:sz w:val="24"/>
          <w:szCs w:val="24"/>
        </w:rPr>
        <w:t> </w:t>
      </w:r>
    </w:p>
    <w:p w14:paraId="54620B47" w14:textId="77777777" w:rsidR="00B22715" w:rsidRPr="00B22715" w:rsidRDefault="00B22715" w:rsidP="00B22715">
      <w:pPr>
        <w:jc w:val="both"/>
        <w:rPr>
          <w:rFonts w:ascii="Calibri" w:hAnsi="Calibri" w:cs="Calibri"/>
          <w:sz w:val="24"/>
          <w:szCs w:val="24"/>
        </w:rPr>
      </w:pPr>
      <w:r w:rsidRPr="00B22715">
        <w:rPr>
          <w:rFonts w:ascii="Calibri" w:hAnsi="Calibri" w:cs="Calibri"/>
          <w:b/>
          <w:bCs/>
          <w:sz w:val="24"/>
          <w:szCs w:val="24"/>
        </w:rPr>
        <w:t xml:space="preserve">Assessment of Liability of </w:t>
      </w:r>
      <w:proofErr w:type="spellStart"/>
      <w:r w:rsidRPr="00B22715">
        <w:rPr>
          <w:rFonts w:ascii="Calibri" w:hAnsi="Calibri" w:cs="Calibri"/>
          <w:b/>
          <w:bCs/>
          <w:sz w:val="24"/>
          <w:szCs w:val="24"/>
        </w:rPr>
        <w:t>Balparmak</w:t>
      </w:r>
      <w:proofErr w:type="spellEnd"/>
      <w:r w:rsidRPr="00B22715">
        <w:rPr>
          <w:rFonts w:ascii="Calibri" w:hAnsi="Calibri" w:cs="Calibri"/>
          <w:b/>
          <w:bCs/>
          <w:sz w:val="24"/>
          <w:szCs w:val="24"/>
        </w:rPr>
        <w:t xml:space="preserve"> for Actions of its Employee Conducted without its Knowledge</w:t>
      </w:r>
    </w:p>
    <w:p w14:paraId="5057791C" w14:textId="77777777" w:rsidR="00B22715" w:rsidRPr="00B22715" w:rsidRDefault="00B22715" w:rsidP="00B22715">
      <w:pPr>
        <w:jc w:val="both"/>
        <w:rPr>
          <w:rFonts w:ascii="Calibri" w:hAnsi="Calibri" w:cs="Calibri"/>
          <w:sz w:val="24"/>
          <w:szCs w:val="24"/>
        </w:rPr>
      </w:pPr>
      <w:r w:rsidRPr="00B22715">
        <w:rPr>
          <w:rFonts w:ascii="Calibri" w:hAnsi="Calibri" w:cs="Calibri"/>
          <w:sz w:val="24"/>
          <w:szCs w:val="24"/>
        </w:rPr>
        <w:t xml:space="preserve">In the </w:t>
      </w:r>
      <w:proofErr w:type="spellStart"/>
      <w:r w:rsidRPr="00B22715">
        <w:rPr>
          <w:rFonts w:ascii="Calibri" w:hAnsi="Calibri" w:cs="Calibri"/>
          <w:sz w:val="24"/>
          <w:szCs w:val="24"/>
        </w:rPr>
        <w:t>Balparmak</w:t>
      </w:r>
      <w:proofErr w:type="spellEnd"/>
      <w:r w:rsidRPr="00B22715">
        <w:rPr>
          <w:rFonts w:ascii="Calibri" w:hAnsi="Calibri" w:cs="Calibri"/>
          <w:sz w:val="24"/>
          <w:szCs w:val="24"/>
        </w:rPr>
        <w:t xml:space="preserve"> decision, the TCA evaluated the responsibility of undertakings for the actions of their employees in the context of competition violations. The investigation revealed that a </w:t>
      </w:r>
      <w:proofErr w:type="spellStart"/>
      <w:r w:rsidRPr="00B22715">
        <w:rPr>
          <w:rFonts w:ascii="Calibri" w:hAnsi="Calibri" w:cs="Calibri"/>
          <w:sz w:val="24"/>
          <w:szCs w:val="24"/>
        </w:rPr>
        <w:t>Balparmak</w:t>
      </w:r>
      <w:proofErr w:type="spellEnd"/>
      <w:r w:rsidRPr="00B22715">
        <w:rPr>
          <w:rFonts w:ascii="Calibri" w:hAnsi="Calibri" w:cs="Calibri"/>
          <w:sz w:val="24"/>
          <w:szCs w:val="24"/>
        </w:rPr>
        <w:t xml:space="preserve"> employee shared future pricing lists with </w:t>
      </w:r>
      <w:proofErr w:type="spellStart"/>
      <w:r w:rsidRPr="00B22715">
        <w:rPr>
          <w:rFonts w:ascii="Calibri" w:hAnsi="Calibri" w:cs="Calibri"/>
          <w:sz w:val="24"/>
          <w:szCs w:val="24"/>
        </w:rPr>
        <w:t>Anavarza’s</w:t>
      </w:r>
      <w:proofErr w:type="spellEnd"/>
      <w:r w:rsidRPr="00B22715">
        <w:rPr>
          <w:rFonts w:ascii="Calibri" w:hAnsi="Calibri" w:cs="Calibri"/>
          <w:sz w:val="24"/>
          <w:szCs w:val="24"/>
        </w:rPr>
        <w:t xml:space="preserve"> Marmara Regional Sales Manager by forwarding these lists from a personal email account. This raised the issue of corporate liability under the Competition Law since </w:t>
      </w:r>
      <w:proofErr w:type="spellStart"/>
      <w:r w:rsidRPr="00B22715">
        <w:rPr>
          <w:rFonts w:ascii="Calibri" w:hAnsi="Calibri" w:cs="Calibri"/>
          <w:sz w:val="24"/>
          <w:szCs w:val="24"/>
        </w:rPr>
        <w:t>Balparmak</w:t>
      </w:r>
      <w:proofErr w:type="spellEnd"/>
      <w:r w:rsidRPr="00B22715">
        <w:rPr>
          <w:rFonts w:ascii="Calibri" w:hAnsi="Calibri" w:cs="Calibri"/>
          <w:sz w:val="24"/>
          <w:szCs w:val="24"/>
        </w:rPr>
        <w:t xml:space="preserve"> claimed that it should not be held accountable for its employee’s unilateral conduct.</w:t>
      </w:r>
    </w:p>
    <w:p w14:paraId="46CE0A9A" w14:textId="77777777" w:rsidR="00B22715" w:rsidRPr="00B22715" w:rsidRDefault="00B22715" w:rsidP="00B22715">
      <w:pPr>
        <w:jc w:val="both"/>
        <w:rPr>
          <w:rFonts w:ascii="Calibri" w:hAnsi="Calibri" w:cs="Calibri"/>
          <w:sz w:val="24"/>
          <w:szCs w:val="24"/>
        </w:rPr>
      </w:pPr>
      <w:proofErr w:type="spellStart"/>
      <w:r w:rsidRPr="00B22715">
        <w:rPr>
          <w:rFonts w:ascii="Calibri" w:hAnsi="Calibri" w:cs="Calibri"/>
          <w:sz w:val="24"/>
          <w:szCs w:val="24"/>
        </w:rPr>
        <w:t>Balparmak</w:t>
      </w:r>
      <w:proofErr w:type="spellEnd"/>
      <w:r w:rsidRPr="00B22715">
        <w:rPr>
          <w:rFonts w:ascii="Calibri" w:hAnsi="Calibri" w:cs="Calibri"/>
          <w:sz w:val="24"/>
          <w:szCs w:val="24"/>
        </w:rPr>
        <w:t xml:space="preserve"> contended that when an employee acts with the intention to harm the undertaking, the undertaking (which has already suffered damages due to this conduct) should not be penalized separately under the Competition Law. The company also asserted that it was unaware of the employee’s actions, which disregarded </w:t>
      </w:r>
      <w:proofErr w:type="spellStart"/>
      <w:r w:rsidRPr="00B22715">
        <w:rPr>
          <w:rFonts w:ascii="Calibri" w:hAnsi="Calibri" w:cs="Calibri"/>
          <w:sz w:val="24"/>
          <w:szCs w:val="24"/>
        </w:rPr>
        <w:t>Balparmak’s</w:t>
      </w:r>
      <w:proofErr w:type="spellEnd"/>
      <w:r w:rsidRPr="00B22715">
        <w:rPr>
          <w:rFonts w:ascii="Calibri" w:hAnsi="Calibri" w:cs="Calibri"/>
          <w:sz w:val="24"/>
          <w:szCs w:val="24"/>
        </w:rPr>
        <w:t xml:space="preserve"> commercial interests, and that it should not be held responsible for an employee’s sharing of competitively sensitive information from a personal email account with a competitor in a manner detrimental to </w:t>
      </w:r>
      <w:proofErr w:type="spellStart"/>
      <w:r w:rsidRPr="00B22715">
        <w:rPr>
          <w:rFonts w:ascii="Calibri" w:hAnsi="Calibri" w:cs="Calibri"/>
          <w:sz w:val="24"/>
          <w:szCs w:val="24"/>
        </w:rPr>
        <w:t>Balparmak’s</w:t>
      </w:r>
      <w:proofErr w:type="spellEnd"/>
      <w:r w:rsidRPr="00B22715">
        <w:rPr>
          <w:rFonts w:ascii="Calibri" w:hAnsi="Calibri" w:cs="Calibri"/>
          <w:sz w:val="24"/>
          <w:szCs w:val="24"/>
        </w:rPr>
        <w:t xml:space="preserve"> interests.</w:t>
      </w:r>
    </w:p>
    <w:p w14:paraId="69799135" w14:textId="77777777" w:rsidR="00B22715" w:rsidRPr="00B22715" w:rsidRDefault="00B22715" w:rsidP="00B22715">
      <w:pPr>
        <w:jc w:val="both"/>
        <w:rPr>
          <w:rFonts w:ascii="Calibri" w:hAnsi="Calibri" w:cs="Calibri"/>
          <w:sz w:val="24"/>
          <w:szCs w:val="24"/>
        </w:rPr>
      </w:pPr>
      <w:r w:rsidRPr="00B22715">
        <w:rPr>
          <w:rFonts w:ascii="Calibri" w:hAnsi="Calibri" w:cs="Calibri"/>
          <w:sz w:val="24"/>
          <w:szCs w:val="24"/>
        </w:rPr>
        <w:t>The TCA emphasized that undertakings are liable for anti-competitive actions by their employees, regardless of the employee’s position within the company or whether the conduct was expressly authorized. This stance is supported by the European precedents (see CJEU in </w:t>
      </w:r>
      <w:proofErr w:type="spellStart"/>
      <w:r>
        <w:fldChar w:fldCharType="begin"/>
      </w:r>
      <w:r>
        <w:instrText>HYPERLINK "https://eur-lex.europa.eu/legal-content/EN/TXT/PDF/?uri=CELEX:61998CJ0022" \t "_blank"</w:instrText>
      </w:r>
      <w:r>
        <w:fldChar w:fldCharType="separate"/>
      </w:r>
      <w:r w:rsidRPr="00B22715">
        <w:rPr>
          <w:rStyle w:val="Kpr"/>
          <w:rFonts w:ascii="Calibri" w:hAnsi="Calibri" w:cs="Calibri"/>
          <w:b/>
          <w:bCs/>
          <w:i/>
          <w:iCs/>
          <w:sz w:val="24"/>
          <w:szCs w:val="24"/>
        </w:rPr>
        <w:t>Becu</w:t>
      </w:r>
      <w:proofErr w:type="spellEnd"/>
      <w:r>
        <w:rPr>
          <w:rStyle w:val="Kpr"/>
          <w:rFonts w:ascii="Calibri" w:hAnsi="Calibri" w:cs="Calibri"/>
          <w:b/>
          <w:bCs/>
          <w:i/>
          <w:iCs/>
          <w:sz w:val="24"/>
          <w:szCs w:val="24"/>
        </w:rPr>
        <w:fldChar w:fldCharType="end"/>
      </w:r>
      <w:r w:rsidRPr="00B22715">
        <w:rPr>
          <w:rFonts w:ascii="Calibri" w:hAnsi="Calibri" w:cs="Calibri"/>
          <w:sz w:val="24"/>
          <w:szCs w:val="24"/>
        </w:rPr>
        <w:t>, para 26, </w:t>
      </w:r>
      <w:hyperlink r:id="rId8" w:tgtFrame="_blank" w:history="1">
        <w:r w:rsidRPr="00B22715">
          <w:rPr>
            <w:rStyle w:val="Kpr"/>
            <w:rFonts w:ascii="Calibri" w:hAnsi="Calibri" w:cs="Calibri"/>
            <w:b/>
            <w:bCs/>
            <w:i/>
            <w:iCs/>
            <w:sz w:val="24"/>
            <w:szCs w:val="24"/>
          </w:rPr>
          <w:t>Viho/Parker Pen</w:t>
        </w:r>
      </w:hyperlink>
      <w:r w:rsidRPr="00B22715">
        <w:rPr>
          <w:rFonts w:ascii="Calibri" w:hAnsi="Calibri" w:cs="Calibri"/>
          <w:sz w:val="24"/>
          <w:szCs w:val="24"/>
        </w:rPr>
        <w:t> and </w:t>
      </w:r>
      <w:hyperlink r:id="rId9" w:tgtFrame="_blank" w:history="1">
        <w:r w:rsidRPr="00B22715">
          <w:rPr>
            <w:rStyle w:val="Kpr"/>
            <w:rFonts w:ascii="Calibri" w:hAnsi="Calibri" w:cs="Calibri"/>
            <w:b/>
            <w:bCs/>
            <w:i/>
            <w:iCs/>
            <w:sz w:val="24"/>
            <w:szCs w:val="24"/>
          </w:rPr>
          <w:t>BPB</w:t>
        </w:r>
      </w:hyperlink>
      <w:r w:rsidRPr="00B22715">
        <w:rPr>
          <w:rFonts w:ascii="Calibri" w:hAnsi="Calibri" w:cs="Calibri"/>
          <w:sz w:val="24"/>
          <w:szCs w:val="24"/>
        </w:rPr>
        <w:t> cases), which highlight an employer’s liability for oversight failures (</w:t>
      </w:r>
      <w:r w:rsidRPr="00B22715">
        <w:rPr>
          <w:rFonts w:ascii="Calibri" w:hAnsi="Calibri" w:cs="Calibri"/>
          <w:i/>
          <w:iCs/>
          <w:sz w:val="24"/>
          <w:szCs w:val="24"/>
        </w:rPr>
        <w:t xml:space="preserve">culpa in </w:t>
      </w:r>
      <w:proofErr w:type="spellStart"/>
      <w:r w:rsidRPr="00B22715">
        <w:rPr>
          <w:rFonts w:ascii="Calibri" w:hAnsi="Calibri" w:cs="Calibri"/>
          <w:i/>
          <w:iCs/>
          <w:sz w:val="24"/>
          <w:szCs w:val="24"/>
        </w:rPr>
        <w:t>vigilando</w:t>
      </w:r>
      <w:proofErr w:type="spellEnd"/>
      <w:r w:rsidRPr="00B22715">
        <w:rPr>
          <w:rFonts w:ascii="Calibri" w:hAnsi="Calibri" w:cs="Calibri"/>
          <w:sz w:val="24"/>
          <w:szCs w:val="24"/>
        </w:rPr>
        <w:t>) and improper delegation (</w:t>
      </w:r>
      <w:r w:rsidRPr="00B22715">
        <w:rPr>
          <w:rFonts w:ascii="Calibri" w:hAnsi="Calibri" w:cs="Calibri"/>
          <w:i/>
          <w:iCs/>
          <w:sz w:val="24"/>
          <w:szCs w:val="24"/>
        </w:rPr>
        <w:t xml:space="preserve">culpa in </w:t>
      </w:r>
      <w:proofErr w:type="spellStart"/>
      <w:r w:rsidRPr="00B22715">
        <w:rPr>
          <w:rFonts w:ascii="Calibri" w:hAnsi="Calibri" w:cs="Calibri"/>
          <w:i/>
          <w:iCs/>
          <w:sz w:val="24"/>
          <w:szCs w:val="24"/>
        </w:rPr>
        <w:t>eligendo</w:t>
      </w:r>
      <w:proofErr w:type="spellEnd"/>
      <w:r w:rsidRPr="00B22715">
        <w:rPr>
          <w:rFonts w:ascii="Calibri" w:hAnsi="Calibri" w:cs="Calibri"/>
          <w:sz w:val="24"/>
          <w:szCs w:val="24"/>
        </w:rPr>
        <w:t>). Further, the TCA referenced its own decisions (see TCA in </w:t>
      </w:r>
      <w:hyperlink r:id="rId10" w:tgtFrame="_blank" w:history="1">
        <w:r w:rsidRPr="00B22715">
          <w:rPr>
            <w:rStyle w:val="Kpr"/>
            <w:rFonts w:ascii="Calibri" w:hAnsi="Calibri" w:cs="Calibri"/>
            <w:b/>
            <w:bCs/>
            <w:i/>
            <w:iCs/>
            <w:sz w:val="24"/>
            <w:szCs w:val="24"/>
          </w:rPr>
          <w:t>Supply</w:t>
        </w:r>
      </w:hyperlink>
      <w:r w:rsidRPr="00B22715">
        <w:rPr>
          <w:rFonts w:ascii="Calibri" w:hAnsi="Calibri" w:cs="Calibri"/>
          <w:sz w:val="24"/>
          <w:szCs w:val="24"/>
        </w:rPr>
        <w:t> and </w:t>
      </w:r>
      <w:proofErr w:type="spellStart"/>
      <w:r>
        <w:fldChar w:fldCharType="begin"/>
      </w:r>
      <w:r>
        <w:instrText>HYPERLINK "https://www.rekabet.gov.tr/Karar?kararId=8d947d7c-bd25-43d2-a87e-d49feb8e165d" \t "_blank"</w:instrText>
      </w:r>
      <w:r>
        <w:fldChar w:fldCharType="separate"/>
      </w:r>
      <w:r w:rsidRPr="00B22715">
        <w:rPr>
          <w:rStyle w:val="Kpr"/>
          <w:rFonts w:ascii="Calibri" w:hAnsi="Calibri" w:cs="Calibri"/>
          <w:b/>
          <w:bCs/>
          <w:i/>
          <w:iCs/>
          <w:sz w:val="24"/>
          <w:szCs w:val="24"/>
        </w:rPr>
        <w:t>Burdur</w:t>
      </w:r>
      <w:proofErr w:type="spellEnd"/>
      <w:r w:rsidRPr="00B22715">
        <w:rPr>
          <w:rStyle w:val="Kpr"/>
          <w:rFonts w:ascii="Calibri" w:hAnsi="Calibri" w:cs="Calibri"/>
          <w:b/>
          <w:bCs/>
          <w:i/>
          <w:iCs/>
          <w:sz w:val="24"/>
          <w:szCs w:val="24"/>
        </w:rPr>
        <w:t xml:space="preserve"> </w:t>
      </w:r>
      <w:proofErr w:type="spellStart"/>
      <w:r w:rsidRPr="00B22715">
        <w:rPr>
          <w:rStyle w:val="Kpr"/>
          <w:rFonts w:ascii="Calibri" w:hAnsi="Calibri" w:cs="Calibri"/>
          <w:b/>
          <w:bCs/>
          <w:i/>
          <w:iCs/>
          <w:sz w:val="24"/>
          <w:szCs w:val="24"/>
        </w:rPr>
        <w:t>Otogaz</w:t>
      </w:r>
      <w:proofErr w:type="spellEnd"/>
      <w:r>
        <w:rPr>
          <w:rStyle w:val="Kpr"/>
          <w:rFonts w:ascii="Calibri" w:hAnsi="Calibri" w:cs="Calibri"/>
          <w:b/>
          <w:bCs/>
          <w:i/>
          <w:iCs/>
          <w:sz w:val="24"/>
          <w:szCs w:val="24"/>
        </w:rPr>
        <w:fldChar w:fldCharType="end"/>
      </w:r>
      <w:r w:rsidRPr="00B22715">
        <w:rPr>
          <w:rFonts w:ascii="Calibri" w:hAnsi="Calibri" w:cs="Calibri"/>
          <w:sz w:val="24"/>
          <w:szCs w:val="24"/>
        </w:rPr>
        <w:t> Decisions) underscoring that employees are part of the undertaking, and their actions are binding on the undertaking under the competition rules.</w:t>
      </w:r>
    </w:p>
    <w:p w14:paraId="77C4813B" w14:textId="77777777" w:rsidR="00B22715" w:rsidRPr="00B22715" w:rsidRDefault="00B22715" w:rsidP="00B22715">
      <w:pPr>
        <w:jc w:val="both"/>
        <w:rPr>
          <w:rFonts w:ascii="Calibri" w:hAnsi="Calibri" w:cs="Calibri"/>
          <w:sz w:val="24"/>
          <w:szCs w:val="24"/>
        </w:rPr>
      </w:pPr>
      <w:r w:rsidRPr="00B22715">
        <w:rPr>
          <w:rFonts w:ascii="Calibri" w:hAnsi="Calibri" w:cs="Calibri"/>
          <w:sz w:val="24"/>
          <w:szCs w:val="24"/>
        </w:rPr>
        <w:t xml:space="preserve">Ultimately, the TCA rejected </w:t>
      </w:r>
      <w:proofErr w:type="spellStart"/>
      <w:r w:rsidRPr="00B22715">
        <w:rPr>
          <w:rFonts w:ascii="Calibri" w:hAnsi="Calibri" w:cs="Calibri"/>
          <w:sz w:val="24"/>
          <w:szCs w:val="24"/>
        </w:rPr>
        <w:t>Balparmak’s</w:t>
      </w:r>
      <w:proofErr w:type="spellEnd"/>
      <w:r w:rsidRPr="00B22715">
        <w:rPr>
          <w:rFonts w:ascii="Calibri" w:hAnsi="Calibri" w:cs="Calibri"/>
          <w:sz w:val="24"/>
          <w:szCs w:val="24"/>
        </w:rPr>
        <w:t xml:space="preserve"> </w:t>
      </w:r>
      <w:proofErr w:type="spellStart"/>
      <w:r w:rsidRPr="00B22715">
        <w:rPr>
          <w:rFonts w:ascii="Calibri" w:hAnsi="Calibri" w:cs="Calibri"/>
          <w:sz w:val="24"/>
          <w:szCs w:val="24"/>
        </w:rPr>
        <w:t>defence</w:t>
      </w:r>
      <w:proofErr w:type="spellEnd"/>
      <w:r w:rsidRPr="00B22715">
        <w:rPr>
          <w:rFonts w:ascii="Calibri" w:hAnsi="Calibri" w:cs="Calibri"/>
          <w:sz w:val="24"/>
          <w:szCs w:val="24"/>
        </w:rPr>
        <w:t xml:space="preserve"> that it should not be penalized for actions allegedly taken outside its official oversight or control. It held </w:t>
      </w:r>
      <w:proofErr w:type="spellStart"/>
      <w:r w:rsidRPr="00B22715">
        <w:rPr>
          <w:rFonts w:ascii="Calibri" w:hAnsi="Calibri" w:cs="Calibri"/>
          <w:sz w:val="24"/>
          <w:szCs w:val="24"/>
        </w:rPr>
        <w:t>Balparmak</w:t>
      </w:r>
      <w:proofErr w:type="spellEnd"/>
      <w:r w:rsidRPr="00B22715">
        <w:rPr>
          <w:rFonts w:ascii="Calibri" w:hAnsi="Calibri" w:cs="Calibri"/>
          <w:sz w:val="24"/>
          <w:szCs w:val="24"/>
        </w:rPr>
        <w:t xml:space="preserve"> responsible for its employee’s actions, concluding that the sharing of competitively sensitive information with a competitor constituted a violation of Article 4 of the Turkish Competition Law. The TCA determined that accepting </w:t>
      </w:r>
      <w:proofErr w:type="spellStart"/>
      <w:r w:rsidRPr="00B22715">
        <w:rPr>
          <w:rFonts w:ascii="Calibri" w:hAnsi="Calibri" w:cs="Calibri"/>
          <w:sz w:val="24"/>
          <w:szCs w:val="24"/>
        </w:rPr>
        <w:t>Balparmak’s</w:t>
      </w:r>
      <w:proofErr w:type="spellEnd"/>
      <w:r w:rsidRPr="00B22715">
        <w:rPr>
          <w:rFonts w:ascii="Calibri" w:hAnsi="Calibri" w:cs="Calibri"/>
          <w:sz w:val="24"/>
          <w:szCs w:val="24"/>
        </w:rPr>
        <w:t xml:space="preserve"> argument would undermine the effectiveness of the </w:t>
      </w:r>
      <w:r w:rsidRPr="00B22715">
        <w:rPr>
          <w:rFonts w:ascii="Calibri" w:hAnsi="Calibri" w:cs="Calibri"/>
          <w:sz w:val="24"/>
          <w:szCs w:val="24"/>
        </w:rPr>
        <w:lastRenderedPageBreak/>
        <w:t>Competition Law enforcement and reaffirmed the company’s liability for the anti-competitive actions of its employee.</w:t>
      </w:r>
    </w:p>
    <w:p w14:paraId="489EB29D" w14:textId="77777777" w:rsidR="00B22715" w:rsidRPr="00B22715" w:rsidRDefault="00B22715" w:rsidP="00B22715">
      <w:pPr>
        <w:jc w:val="both"/>
        <w:rPr>
          <w:rFonts w:ascii="Calibri" w:hAnsi="Calibri" w:cs="Calibri"/>
          <w:sz w:val="24"/>
          <w:szCs w:val="24"/>
        </w:rPr>
      </w:pPr>
      <w:r w:rsidRPr="00B22715">
        <w:rPr>
          <w:rFonts w:ascii="Calibri" w:hAnsi="Calibri" w:cs="Calibri"/>
          <w:sz w:val="24"/>
          <w:szCs w:val="24"/>
        </w:rPr>
        <w:t> </w:t>
      </w:r>
    </w:p>
    <w:p w14:paraId="0B370662" w14:textId="77777777" w:rsidR="00B22715" w:rsidRPr="00B22715" w:rsidRDefault="00B22715" w:rsidP="00B22715">
      <w:pPr>
        <w:jc w:val="both"/>
        <w:rPr>
          <w:rFonts w:ascii="Calibri" w:hAnsi="Calibri" w:cs="Calibri"/>
          <w:sz w:val="24"/>
          <w:szCs w:val="24"/>
        </w:rPr>
      </w:pPr>
      <w:r w:rsidRPr="00B22715">
        <w:rPr>
          <w:rFonts w:ascii="Calibri" w:hAnsi="Calibri" w:cs="Calibri"/>
          <w:b/>
          <w:bCs/>
          <w:sz w:val="24"/>
          <w:szCs w:val="24"/>
        </w:rPr>
        <w:t>Conclusion</w:t>
      </w:r>
    </w:p>
    <w:p w14:paraId="58FC8CCE" w14:textId="77777777" w:rsidR="00B22715" w:rsidRPr="00B22715" w:rsidRDefault="00B22715" w:rsidP="00B22715">
      <w:pPr>
        <w:jc w:val="both"/>
        <w:rPr>
          <w:rFonts w:ascii="Calibri" w:hAnsi="Calibri" w:cs="Calibri"/>
          <w:sz w:val="24"/>
          <w:szCs w:val="24"/>
        </w:rPr>
      </w:pPr>
      <w:r w:rsidRPr="00B22715">
        <w:rPr>
          <w:rFonts w:ascii="Calibri" w:hAnsi="Calibri" w:cs="Calibri"/>
          <w:sz w:val="24"/>
          <w:szCs w:val="24"/>
        </w:rPr>
        <w:t xml:space="preserve">The </w:t>
      </w:r>
      <w:proofErr w:type="spellStart"/>
      <w:r w:rsidRPr="00B22715">
        <w:rPr>
          <w:rFonts w:ascii="Calibri" w:hAnsi="Calibri" w:cs="Calibri"/>
          <w:sz w:val="24"/>
          <w:szCs w:val="24"/>
        </w:rPr>
        <w:t>Balparmak</w:t>
      </w:r>
      <w:proofErr w:type="spellEnd"/>
      <w:r w:rsidRPr="00B22715">
        <w:rPr>
          <w:rFonts w:ascii="Calibri" w:hAnsi="Calibri" w:cs="Calibri"/>
          <w:sz w:val="24"/>
          <w:szCs w:val="24"/>
        </w:rPr>
        <w:t xml:space="preserve"> decision offers insightful guidance on the TCA’s approach to corporate liability in cases involving the disclosure of competitively sensitive information by employees. In the </w:t>
      </w:r>
      <w:proofErr w:type="spellStart"/>
      <w:r w:rsidRPr="00B22715">
        <w:rPr>
          <w:rFonts w:ascii="Calibri" w:hAnsi="Calibri" w:cs="Calibri"/>
          <w:sz w:val="24"/>
          <w:szCs w:val="24"/>
        </w:rPr>
        <w:t>Balparmak</w:t>
      </w:r>
      <w:proofErr w:type="spellEnd"/>
      <w:r w:rsidRPr="00B22715">
        <w:rPr>
          <w:rFonts w:ascii="Calibri" w:hAnsi="Calibri" w:cs="Calibri"/>
          <w:sz w:val="24"/>
          <w:szCs w:val="24"/>
        </w:rPr>
        <w:t xml:space="preserve"> decision, the TCA held the undertaking directly accountable for its employee’s actions, finding the company liable for the anti-competitive conduct of sharing future pricing information with a competitor. </w:t>
      </w:r>
      <w:proofErr w:type="spellStart"/>
      <w:r w:rsidRPr="00B22715">
        <w:rPr>
          <w:rFonts w:ascii="Calibri" w:hAnsi="Calibri" w:cs="Calibri"/>
          <w:sz w:val="24"/>
          <w:szCs w:val="24"/>
        </w:rPr>
        <w:t>Balparmak’s</w:t>
      </w:r>
      <w:proofErr w:type="spellEnd"/>
      <w:r w:rsidRPr="00B22715">
        <w:rPr>
          <w:rFonts w:ascii="Calibri" w:hAnsi="Calibri" w:cs="Calibri"/>
          <w:sz w:val="24"/>
          <w:szCs w:val="24"/>
        </w:rPr>
        <w:t xml:space="preserve"> argument that the employee acted unilaterally and against the company’s interests was deemed insufficient to absolve it of liability. The TCA emphasized that employees, regardless of intent or position, are integral to the economic entity of the undertaking, making their actions attributable to the company under competition law principles.</w:t>
      </w:r>
    </w:p>
    <w:p w14:paraId="6BB2A54F" w14:textId="77777777" w:rsidR="00B22715" w:rsidRPr="00B22715" w:rsidRDefault="00B22715" w:rsidP="00B22715">
      <w:pPr>
        <w:jc w:val="both"/>
        <w:rPr>
          <w:rFonts w:ascii="Calibri" w:hAnsi="Calibri" w:cs="Calibri"/>
          <w:sz w:val="24"/>
          <w:szCs w:val="24"/>
        </w:rPr>
      </w:pPr>
      <w:r w:rsidRPr="00B22715">
        <w:rPr>
          <w:rFonts w:ascii="Calibri" w:hAnsi="Calibri" w:cs="Calibri"/>
          <w:sz w:val="24"/>
          <w:szCs w:val="24"/>
        </w:rPr>
        <w:t xml:space="preserve">However, the TCA’s stance on corporate liability has not always been uniform. In the earlier </w:t>
      </w:r>
      <w:proofErr w:type="spellStart"/>
      <w:r w:rsidRPr="00B22715">
        <w:rPr>
          <w:rFonts w:ascii="Calibri" w:hAnsi="Calibri" w:cs="Calibri"/>
          <w:sz w:val="24"/>
          <w:szCs w:val="24"/>
        </w:rPr>
        <w:t>Arçelik</w:t>
      </w:r>
      <w:proofErr w:type="spellEnd"/>
      <w:r w:rsidRPr="00B22715">
        <w:rPr>
          <w:rFonts w:ascii="Calibri" w:hAnsi="Calibri" w:cs="Calibri"/>
          <w:sz w:val="24"/>
          <w:szCs w:val="24"/>
        </w:rPr>
        <w:t xml:space="preserve">/Vestel decision, the TCA adopted a different approach, allowing for a pathway by which companies could potentially avoid liability if they could demonstrate a lack of awareness and control over employee conduct. In the </w:t>
      </w:r>
      <w:proofErr w:type="spellStart"/>
      <w:r w:rsidRPr="00B22715">
        <w:rPr>
          <w:rFonts w:ascii="Calibri" w:hAnsi="Calibri" w:cs="Calibri"/>
          <w:sz w:val="24"/>
          <w:szCs w:val="24"/>
        </w:rPr>
        <w:t>Arçelik</w:t>
      </w:r>
      <w:proofErr w:type="spellEnd"/>
      <w:r w:rsidRPr="00B22715">
        <w:rPr>
          <w:rFonts w:ascii="Calibri" w:hAnsi="Calibri" w:cs="Calibri"/>
          <w:sz w:val="24"/>
          <w:szCs w:val="24"/>
        </w:rPr>
        <w:t xml:space="preserve">/Vestel decision, the TCA launched an investigation after </w:t>
      </w:r>
      <w:proofErr w:type="spellStart"/>
      <w:r w:rsidRPr="00B22715">
        <w:rPr>
          <w:rFonts w:ascii="Calibri" w:hAnsi="Calibri" w:cs="Calibri"/>
          <w:sz w:val="24"/>
          <w:szCs w:val="24"/>
        </w:rPr>
        <w:t>Arçelik’s</w:t>
      </w:r>
      <w:proofErr w:type="spellEnd"/>
      <w:r w:rsidRPr="00B22715">
        <w:rPr>
          <w:rFonts w:ascii="Calibri" w:hAnsi="Calibri" w:cs="Calibri"/>
          <w:sz w:val="24"/>
          <w:szCs w:val="24"/>
        </w:rPr>
        <w:t xml:space="preserve"> leniency submission disclosing that an </w:t>
      </w:r>
      <w:proofErr w:type="spellStart"/>
      <w:r w:rsidRPr="00B22715">
        <w:rPr>
          <w:rFonts w:ascii="Calibri" w:hAnsi="Calibri" w:cs="Calibri"/>
          <w:sz w:val="24"/>
          <w:szCs w:val="24"/>
        </w:rPr>
        <w:t>Arçelik</w:t>
      </w:r>
      <w:proofErr w:type="spellEnd"/>
      <w:r w:rsidRPr="00B22715">
        <w:rPr>
          <w:rFonts w:ascii="Calibri" w:hAnsi="Calibri" w:cs="Calibri"/>
          <w:sz w:val="24"/>
          <w:szCs w:val="24"/>
        </w:rPr>
        <w:t xml:space="preserve"> employee had shared competitively sensitive information with an employee of competitor Vestel. </w:t>
      </w:r>
      <w:proofErr w:type="spellStart"/>
      <w:r w:rsidRPr="00B22715">
        <w:rPr>
          <w:rFonts w:ascii="Calibri" w:hAnsi="Calibri" w:cs="Calibri"/>
          <w:sz w:val="24"/>
          <w:szCs w:val="24"/>
        </w:rPr>
        <w:t>Arçelik</w:t>
      </w:r>
      <w:proofErr w:type="spellEnd"/>
      <w:r w:rsidRPr="00B22715">
        <w:rPr>
          <w:rFonts w:ascii="Calibri" w:hAnsi="Calibri" w:cs="Calibri"/>
          <w:sz w:val="24"/>
          <w:szCs w:val="24"/>
        </w:rPr>
        <w:t xml:space="preserve"> proactively detected this information disclosure through its internal compliance program and reported it to the TCA under the Regulation on Active Cooperation for Detecting Cartels.  </w:t>
      </w:r>
      <w:proofErr w:type="spellStart"/>
      <w:r w:rsidRPr="00B22715">
        <w:rPr>
          <w:rFonts w:ascii="Calibri" w:hAnsi="Calibri" w:cs="Calibri"/>
          <w:sz w:val="24"/>
          <w:szCs w:val="24"/>
        </w:rPr>
        <w:t>Arçelik</w:t>
      </w:r>
      <w:proofErr w:type="spellEnd"/>
      <w:r w:rsidRPr="00B22715">
        <w:rPr>
          <w:rFonts w:ascii="Calibri" w:hAnsi="Calibri" w:cs="Calibri"/>
          <w:sz w:val="24"/>
          <w:szCs w:val="24"/>
        </w:rPr>
        <w:t xml:space="preserve"> demonstrated its commitment to compliance by showing it had rigorous internal controls, including third-party oversight at industry association meetings and routine audits, through which it detected the violation independently. Based on this evidence, the TCA concluded that </w:t>
      </w:r>
      <w:proofErr w:type="spellStart"/>
      <w:r w:rsidRPr="00B22715">
        <w:rPr>
          <w:rFonts w:ascii="Calibri" w:hAnsi="Calibri" w:cs="Calibri"/>
          <w:sz w:val="24"/>
          <w:szCs w:val="24"/>
        </w:rPr>
        <w:t>Arçelik</w:t>
      </w:r>
      <w:proofErr w:type="spellEnd"/>
      <w:r w:rsidRPr="00B22715">
        <w:rPr>
          <w:rFonts w:ascii="Calibri" w:hAnsi="Calibri" w:cs="Calibri"/>
          <w:sz w:val="24"/>
          <w:szCs w:val="24"/>
        </w:rPr>
        <w:t xml:space="preserve"> was unaware of the employee’s actions and thus could not be held liable.</w:t>
      </w:r>
    </w:p>
    <w:p w14:paraId="3F7CA5CF" w14:textId="77777777" w:rsidR="00B22715" w:rsidRPr="00B22715" w:rsidRDefault="00B22715" w:rsidP="00B22715">
      <w:pPr>
        <w:jc w:val="both"/>
        <w:rPr>
          <w:rFonts w:ascii="Calibri" w:hAnsi="Calibri" w:cs="Calibri"/>
          <w:sz w:val="24"/>
          <w:szCs w:val="24"/>
        </w:rPr>
      </w:pPr>
      <w:r w:rsidRPr="00B22715">
        <w:rPr>
          <w:rFonts w:ascii="Calibri" w:hAnsi="Calibri" w:cs="Calibri"/>
          <w:sz w:val="24"/>
          <w:szCs w:val="24"/>
        </w:rPr>
        <w:t xml:space="preserve">The contrast between these cases highlights the TCA’s expectation that undertakings actively demonstrate compliance with the Competition Law and take responsibility for monitoring employee conduct. While the </w:t>
      </w:r>
      <w:proofErr w:type="spellStart"/>
      <w:r w:rsidRPr="00B22715">
        <w:rPr>
          <w:rFonts w:ascii="Calibri" w:hAnsi="Calibri" w:cs="Calibri"/>
          <w:sz w:val="24"/>
          <w:szCs w:val="24"/>
        </w:rPr>
        <w:t>Arçelik</w:t>
      </w:r>
      <w:proofErr w:type="spellEnd"/>
      <w:r w:rsidRPr="00B22715">
        <w:rPr>
          <w:rFonts w:ascii="Calibri" w:hAnsi="Calibri" w:cs="Calibri"/>
          <w:sz w:val="24"/>
          <w:szCs w:val="24"/>
        </w:rPr>
        <w:t xml:space="preserve"> case illustrates that, with sufficient evidence, undertakings may rebut this presumption of liability by showing a lack of awareness and implementing effective compliance measures; the </w:t>
      </w:r>
      <w:proofErr w:type="spellStart"/>
      <w:r w:rsidRPr="00B22715">
        <w:rPr>
          <w:rFonts w:ascii="Calibri" w:hAnsi="Calibri" w:cs="Calibri"/>
          <w:sz w:val="24"/>
          <w:szCs w:val="24"/>
        </w:rPr>
        <w:t>Balparmak</w:t>
      </w:r>
      <w:proofErr w:type="spellEnd"/>
      <w:r w:rsidRPr="00B22715">
        <w:rPr>
          <w:rFonts w:ascii="Calibri" w:hAnsi="Calibri" w:cs="Calibri"/>
          <w:sz w:val="24"/>
          <w:szCs w:val="24"/>
        </w:rPr>
        <w:t xml:space="preserve"> case underscores that failure to detect and report the presumable violations independently leaves the undertaking fully liable.</w:t>
      </w:r>
    </w:p>
    <w:p w14:paraId="2BF1D56F" w14:textId="77777777" w:rsidR="00B22715" w:rsidRPr="00B22715" w:rsidRDefault="00B22715" w:rsidP="00B22715">
      <w:pPr>
        <w:jc w:val="both"/>
        <w:rPr>
          <w:rFonts w:ascii="Calibri" w:hAnsi="Calibri" w:cs="Calibri"/>
          <w:sz w:val="24"/>
          <w:szCs w:val="24"/>
        </w:rPr>
      </w:pPr>
      <w:r w:rsidRPr="00B22715">
        <w:rPr>
          <w:rFonts w:ascii="Calibri" w:hAnsi="Calibri" w:cs="Calibri"/>
          <w:sz w:val="24"/>
          <w:szCs w:val="24"/>
        </w:rPr>
        <w:t>Ultimately, the TCA imposes a high burden of proof on undertakings to demonstrate they are not liable for employee misconduct. Both decisions emphasize the importance of internal compliance programs and the proactive detection of potential competition law breaches as key strategies for mitigating liability.</w:t>
      </w:r>
    </w:p>
    <w:p w14:paraId="10AA655A" w14:textId="77777777" w:rsidR="003909A6" w:rsidRPr="00B22715" w:rsidRDefault="003909A6" w:rsidP="00B22715">
      <w:pPr>
        <w:jc w:val="both"/>
        <w:rPr>
          <w:rFonts w:ascii="Calibri" w:hAnsi="Calibri" w:cs="Calibri"/>
          <w:sz w:val="24"/>
          <w:szCs w:val="24"/>
        </w:rPr>
      </w:pPr>
    </w:p>
    <w:sectPr w:rsidR="003909A6" w:rsidRPr="00B22715" w:rsidSect="00155EE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0F8BF" w14:textId="77777777" w:rsidR="00B22715" w:rsidRDefault="00B22715" w:rsidP="00B22715">
      <w:pPr>
        <w:spacing w:after="0" w:line="240" w:lineRule="auto"/>
      </w:pPr>
      <w:r>
        <w:separator/>
      </w:r>
    </w:p>
  </w:endnote>
  <w:endnote w:type="continuationSeparator" w:id="0">
    <w:p w14:paraId="1D2E7298" w14:textId="77777777" w:rsidR="00B22715" w:rsidRDefault="00B22715" w:rsidP="00B2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438598"/>
      <w:docPartObj>
        <w:docPartGallery w:val="Page Numbers (Bottom of Page)"/>
        <w:docPartUnique/>
      </w:docPartObj>
    </w:sdtPr>
    <w:sdtEndPr>
      <w:rPr>
        <w:rFonts w:ascii="Calibri" w:hAnsi="Calibri" w:cs="Calibri"/>
        <w:noProof/>
      </w:rPr>
    </w:sdtEndPr>
    <w:sdtContent>
      <w:p w14:paraId="29ACCBFF" w14:textId="4CCD9893" w:rsidR="00B22715" w:rsidRPr="00B22715" w:rsidRDefault="00B22715">
        <w:pPr>
          <w:pStyle w:val="AltBilgi"/>
          <w:jc w:val="center"/>
          <w:rPr>
            <w:rFonts w:ascii="Calibri" w:hAnsi="Calibri" w:cs="Calibri"/>
          </w:rPr>
        </w:pPr>
        <w:r w:rsidRPr="00B22715">
          <w:rPr>
            <w:rFonts w:ascii="Calibri" w:hAnsi="Calibri" w:cs="Calibri"/>
          </w:rPr>
          <w:fldChar w:fldCharType="begin"/>
        </w:r>
        <w:r w:rsidRPr="00B22715">
          <w:rPr>
            <w:rFonts w:ascii="Calibri" w:hAnsi="Calibri" w:cs="Calibri"/>
          </w:rPr>
          <w:instrText xml:space="preserve"> PAGE   \* MERGEFORMAT </w:instrText>
        </w:r>
        <w:r w:rsidRPr="00B22715">
          <w:rPr>
            <w:rFonts w:ascii="Calibri" w:hAnsi="Calibri" w:cs="Calibri"/>
          </w:rPr>
          <w:fldChar w:fldCharType="separate"/>
        </w:r>
        <w:r w:rsidRPr="00B22715">
          <w:rPr>
            <w:rFonts w:ascii="Calibri" w:hAnsi="Calibri" w:cs="Calibri"/>
            <w:noProof/>
          </w:rPr>
          <w:t>2</w:t>
        </w:r>
        <w:r w:rsidRPr="00B22715">
          <w:rPr>
            <w:rFonts w:ascii="Calibri" w:hAnsi="Calibri" w:cs="Calibri"/>
            <w:noProof/>
          </w:rPr>
          <w:fldChar w:fldCharType="end"/>
        </w:r>
      </w:p>
    </w:sdtContent>
  </w:sdt>
  <w:p w14:paraId="15A53580" w14:textId="77777777" w:rsidR="00B22715" w:rsidRDefault="00B227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E1E39" w14:textId="77777777" w:rsidR="00B22715" w:rsidRDefault="00B22715" w:rsidP="00B22715">
      <w:pPr>
        <w:spacing w:after="0" w:line="240" w:lineRule="auto"/>
      </w:pPr>
      <w:r>
        <w:separator/>
      </w:r>
    </w:p>
  </w:footnote>
  <w:footnote w:type="continuationSeparator" w:id="0">
    <w:p w14:paraId="4D0D4FA2" w14:textId="77777777" w:rsidR="00B22715" w:rsidRDefault="00B22715" w:rsidP="00B227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15"/>
    <w:rsid w:val="000754D2"/>
    <w:rsid w:val="000F6E8A"/>
    <w:rsid w:val="00132C5D"/>
    <w:rsid w:val="00155EEB"/>
    <w:rsid w:val="003667F8"/>
    <w:rsid w:val="003909A6"/>
    <w:rsid w:val="003D4F4C"/>
    <w:rsid w:val="003D7C5F"/>
    <w:rsid w:val="00415082"/>
    <w:rsid w:val="0061410F"/>
    <w:rsid w:val="00737E7A"/>
    <w:rsid w:val="007B393F"/>
    <w:rsid w:val="007B4197"/>
    <w:rsid w:val="00B22715"/>
    <w:rsid w:val="00C10D4A"/>
    <w:rsid w:val="00C9225C"/>
    <w:rsid w:val="00CC147F"/>
    <w:rsid w:val="00D075B4"/>
    <w:rsid w:val="00DB767A"/>
    <w:rsid w:val="00EB6FE5"/>
    <w:rsid w:val="00F35411"/>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C9F5"/>
  <w15:chartTrackingRefBased/>
  <w15:docId w15:val="{09E960F2-6256-4062-BFFB-90CF9229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22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B22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2271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2271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2271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2271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2271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2271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2271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271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B2271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2271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2271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2271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2271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2271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2271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22715"/>
    <w:rPr>
      <w:rFonts w:eastAsiaTheme="majorEastAsia" w:cstheme="majorBidi"/>
      <w:color w:val="272727" w:themeColor="text1" w:themeTint="D8"/>
    </w:rPr>
  </w:style>
  <w:style w:type="paragraph" w:styleId="KonuBal">
    <w:name w:val="Title"/>
    <w:basedOn w:val="Normal"/>
    <w:next w:val="Normal"/>
    <w:link w:val="KonuBalChar"/>
    <w:uiPriority w:val="10"/>
    <w:qFormat/>
    <w:rsid w:val="00B22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2271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2271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2271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2271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22715"/>
    <w:rPr>
      <w:i/>
      <w:iCs/>
      <w:color w:val="404040" w:themeColor="text1" w:themeTint="BF"/>
    </w:rPr>
  </w:style>
  <w:style w:type="paragraph" w:styleId="ListeParagraf">
    <w:name w:val="List Paragraph"/>
    <w:basedOn w:val="Normal"/>
    <w:uiPriority w:val="34"/>
    <w:qFormat/>
    <w:rsid w:val="00B22715"/>
    <w:pPr>
      <w:ind w:left="720"/>
      <w:contextualSpacing/>
    </w:pPr>
  </w:style>
  <w:style w:type="character" w:styleId="GlVurgulama">
    <w:name w:val="Intense Emphasis"/>
    <w:basedOn w:val="VarsaylanParagrafYazTipi"/>
    <w:uiPriority w:val="21"/>
    <w:qFormat/>
    <w:rsid w:val="00B22715"/>
    <w:rPr>
      <w:i/>
      <w:iCs/>
      <w:color w:val="0F4761" w:themeColor="accent1" w:themeShade="BF"/>
    </w:rPr>
  </w:style>
  <w:style w:type="paragraph" w:styleId="GlAlnt">
    <w:name w:val="Intense Quote"/>
    <w:basedOn w:val="Normal"/>
    <w:next w:val="Normal"/>
    <w:link w:val="GlAlntChar"/>
    <w:uiPriority w:val="30"/>
    <w:qFormat/>
    <w:rsid w:val="00B22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22715"/>
    <w:rPr>
      <w:i/>
      <w:iCs/>
      <w:color w:val="0F4761" w:themeColor="accent1" w:themeShade="BF"/>
    </w:rPr>
  </w:style>
  <w:style w:type="character" w:styleId="GlBavuru">
    <w:name w:val="Intense Reference"/>
    <w:basedOn w:val="VarsaylanParagrafYazTipi"/>
    <w:uiPriority w:val="32"/>
    <w:qFormat/>
    <w:rsid w:val="00B22715"/>
    <w:rPr>
      <w:b/>
      <w:bCs/>
      <w:smallCaps/>
      <w:color w:val="0F4761" w:themeColor="accent1" w:themeShade="BF"/>
      <w:spacing w:val="5"/>
    </w:rPr>
  </w:style>
  <w:style w:type="character" w:styleId="Kpr">
    <w:name w:val="Hyperlink"/>
    <w:basedOn w:val="VarsaylanParagrafYazTipi"/>
    <w:uiPriority w:val="99"/>
    <w:unhideWhenUsed/>
    <w:rsid w:val="00B22715"/>
    <w:rPr>
      <w:color w:val="467886" w:themeColor="hyperlink"/>
      <w:u w:val="single"/>
    </w:rPr>
  </w:style>
  <w:style w:type="character" w:styleId="zmlenmeyenBahsetme">
    <w:name w:val="Unresolved Mention"/>
    <w:basedOn w:val="VarsaylanParagrafYazTipi"/>
    <w:uiPriority w:val="99"/>
    <w:semiHidden/>
    <w:unhideWhenUsed/>
    <w:rsid w:val="00B22715"/>
    <w:rPr>
      <w:color w:val="605E5C"/>
      <w:shd w:val="clear" w:color="auto" w:fill="E1DFDD"/>
    </w:rPr>
  </w:style>
  <w:style w:type="paragraph" w:styleId="stBilgi">
    <w:name w:val="header"/>
    <w:basedOn w:val="Normal"/>
    <w:link w:val="stBilgiChar"/>
    <w:uiPriority w:val="99"/>
    <w:unhideWhenUsed/>
    <w:rsid w:val="00B22715"/>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B22715"/>
  </w:style>
  <w:style w:type="paragraph" w:styleId="AltBilgi">
    <w:name w:val="footer"/>
    <w:basedOn w:val="Normal"/>
    <w:link w:val="AltBilgiChar"/>
    <w:uiPriority w:val="99"/>
    <w:unhideWhenUsed/>
    <w:rsid w:val="00B22715"/>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B22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77231">
      <w:bodyDiv w:val="1"/>
      <w:marLeft w:val="0"/>
      <w:marRight w:val="0"/>
      <w:marTop w:val="0"/>
      <w:marBottom w:val="0"/>
      <w:divBdr>
        <w:top w:val="none" w:sz="0" w:space="0" w:color="auto"/>
        <w:left w:val="none" w:sz="0" w:space="0" w:color="auto"/>
        <w:bottom w:val="none" w:sz="0" w:space="0" w:color="auto"/>
        <w:right w:val="none" w:sz="0" w:space="0" w:color="auto"/>
      </w:divBdr>
    </w:div>
    <w:div w:id="949821148">
      <w:bodyDiv w:val="1"/>
      <w:marLeft w:val="0"/>
      <w:marRight w:val="0"/>
      <w:marTop w:val="0"/>
      <w:marBottom w:val="0"/>
      <w:divBdr>
        <w:top w:val="none" w:sz="0" w:space="0" w:color="auto"/>
        <w:left w:val="none" w:sz="0" w:space="0" w:color="auto"/>
        <w:bottom w:val="none" w:sz="0" w:space="0" w:color="auto"/>
        <w:right w:val="none" w:sz="0" w:space="0" w:color="auto"/>
      </w:divBdr>
    </w:div>
    <w:div w:id="1874223485">
      <w:bodyDiv w:val="1"/>
      <w:marLeft w:val="0"/>
      <w:marRight w:val="0"/>
      <w:marTop w:val="0"/>
      <w:marBottom w:val="0"/>
      <w:divBdr>
        <w:top w:val="none" w:sz="0" w:space="0" w:color="auto"/>
        <w:left w:val="none" w:sz="0" w:space="0" w:color="auto"/>
        <w:bottom w:val="none" w:sz="0" w:space="0" w:color="auto"/>
        <w:right w:val="none" w:sz="0" w:space="0" w:color="auto"/>
      </w:divBdr>
    </w:div>
    <w:div w:id="203241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HTML/?uri=CELEX:31992D042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ompetitionlawblog.kluwercompetitionlaw.com/author/yeryilmaz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petitionlawblog.kluwercompetitionlaw.com/author/cesitcaner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rekabet.gov.tr/Karar?kararId=01440ead-234c-44df-bb96-b44491f7ff9b" TargetMode="External"/><Relationship Id="rId4" Type="http://schemas.openxmlformats.org/officeDocument/2006/relationships/footnotes" Target="footnotes.xml"/><Relationship Id="rId9" Type="http://schemas.openxmlformats.org/officeDocument/2006/relationships/hyperlink" Target="https://eur-lex.europa.eu/legal-content/EN/TXT/PDF/?uri=CELEX:62003TJ0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1481</Words>
  <Characters>8444</Characters>
  <Application>Microsoft Office Word</Application>
  <DocSecurity>0</DocSecurity>
  <Lines>70</Lines>
  <Paragraphs>19</Paragraphs>
  <ScaleCrop>false</ScaleCrop>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ACTECON</dc:creator>
  <cp:keywords/>
  <dc:description/>
  <cp:lastModifiedBy>Serenay Kivik - ACTECON</cp:lastModifiedBy>
  <cp:revision>2</cp:revision>
  <dcterms:created xsi:type="dcterms:W3CDTF">2024-12-19T15:38:00Z</dcterms:created>
  <dcterms:modified xsi:type="dcterms:W3CDTF">2024-12-19T15:38:00Z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