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7AFCD" w14:textId="77777777" w:rsidR="0084555C" w:rsidRDefault="0030519B">
      <w:pPr>
        <w:pStyle w:val="GvdeMetni"/>
        <w:ind w:left="3745"/>
        <w:jc w:val="left"/>
        <w:rPr>
          <w:rFonts w:ascii="Times New Roman"/>
          <w:sz w:val="20"/>
        </w:rPr>
      </w:pPr>
      <w:r>
        <w:rPr>
          <w:rFonts w:ascii="Times New Roman"/>
          <w:noProof/>
          <w:sz w:val="20"/>
        </w:rPr>
        <w:drawing>
          <wp:inline distT="0" distB="0" distL="0" distR="0" wp14:anchorId="021CA8FC" wp14:editId="208B7968">
            <wp:extent cx="1166288" cy="5394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166288" cy="539496"/>
                    </a:xfrm>
                    <a:prstGeom prst="rect">
                      <a:avLst/>
                    </a:prstGeom>
                  </pic:spPr>
                </pic:pic>
              </a:graphicData>
            </a:graphic>
          </wp:inline>
        </w:drawing>
      </w:r>
    </w:p>
    <w:p w14:paraId="4A202C81" w14:textId="77777777" w:rsidR="0084555C" w:rsidRDefault="0084555C">
      <w:pPr>
        <w:pStyle w:val="GvdeMetni"/>
        <w:ind w:left="0"/>
        <w:jc w:val="left"/>
        <w:rPr>
          <w:rFonts w:ascii="Times New Roman"/>
          <w:sz w:val="36"/>
        </w:rPr>
      </w:pPr>
    </w:p>
    <w:p w14:paraId="4F583352" w14:textId="77777777" w:rsidR="0084555C" w:rsidRDefault="0084555C">
      <w:pPr>
        <w:pStyle w:val="GvdeMetni"/>
        <w:spacing w:before="158"/>
        <w:ind w:left="0"/>
        <w:jc w:val="left"/>
        <w:rPr>
          <w:rFonts w:ascii="Times New Roman"/>
          <w:sz w:val="36"/>
        </w:rPr>
      </w:pPr>
    </w:p>
    <w:p w14:paraId="05B59E32" w14:textId="77777777" w:rsidR="0084555C" w:rsidRDefault="0030519B">
      <w:pPr>
        <w:pStyle w:val="KonuBal"/>
        <w:ind w:right="126"/>
      </w:pPr>
      <w:r>
        <w:rPr>
          <w:color w:val="C30030"/>
          <w:spacing w:val="-10"/>
        </w:rPr>
        <w:t>TCA</w:t>
      </w:r>
      <w:r>
        <w:rPr>
          <w:color w:val="C30030"/>
          <w:spacing w:val="-15"/>
        </w:rPr>
        <w:t xml:space="preserve"> </w:t>
      </w:r>
      <w:r>
        <w:rPr>
          <w:color w:val="C30030"/>
          <w:spacing w:val="-10"/>
        </w:rPr>
        <w:t>Reveals</w:t>
      </w:r>
      <w:r>
        <w:rPr>
          <w:color w:val="C30030"/>
          <w:spacing w:val="-15"/>
        </w:rPr>
        <w:t xml:space="preserve"> </w:t>
      </w:r>
      <w:r>
        <w:rPr>
          <w:color w:val="C30030"/>
          <w:spacing w:val="-10"/>
        </w:rPr>
        <w:t>Detailed</w:t>
      </w:r>
      <w:r>
        <w:rPr>
          <w:color w:val="C30030"/>
          <w:spacing w:val="-14"/>
        </w:rPr>
        <w:t xml:space="preserve"> </w:t>
      </w:r>
      <w:r>
        <w:rPr>
          <w:color w:val="C30030"/>
          <w:spacing w:val="-10"/>
        </w:rPr>
        <w:t>Reasoning</w:t>
      </w:r>
      <w:r>
        <w:rPr>
          <w:color w:val="C30030"/>
          <w:spacing w:val="-16"/>
        </w:rPr>
        <w:t xml:space="preserve"> </w:t>
      </w:r>
      <w:r>
        <w:rPr>
          <w:color w:val="C30030"/>
          <w:spacing w:val="-10"/>
        </w:rPr>
        <w:t>of</w:t>
      </w:r>
      <w:r>
        <w:rPr>
          <w:color w:val="C30030"/>
          <w:spacing w:val="-15"/>
        </w:rPr>
        <w:t xml:space="preserve"> </w:t>
      </w:r>
      <w:r>
        <w:rPr>
          <w:color w:val="C30030"/>
          <w:spacing w:val="-10"/>
        </w:rPr>
        <w:t>Hefty</w:t>
      </w:r>
      <w:r>
        <w:rPr>
          <w:color w:val="C30030"/>
          <w:spacing w:val="-12"/>
        </w:rPr>
        <w:t xml:space="preserve"> </w:t>
      </w:r>
      <w:r>
        <w:rPr>
          <w:color w:val="C30030"/>
          <w:spacing w:val="-10"/>
        </w:rPr>
        <w:t>Fine</w:t>
      </w:r>
      <w:r>
        <w:rPr>
          <w:color w:val="C30030"/>
          <w:spacing w:val="-15"/>
        </w:rPr>
        <w:t xml:space="preserve"> </w:t>
      </w:r>
      <w:r>
        <w:rPr>
          <w:color w:val="C30030"/>
          <w:spacing w:val="-10"/>
        </w:rPr>
        <w:t>on</w:t>
      </w:r>
      <w:r>
        <w:rPr>
          <w:color w:val="C30030"/>
          <w:spacing w:val="-15"/>
        </w:rPr>
        <w:t xml:space="preserve"> </w:t>
      </w:r>
      <w:r>
        <w:rPr>
          <w:color w:val="C30030"/>
          <w:spacing w:val="-10"/>
        </w:rPr>
        <w:t>Nestle</w:t>
      </w:r>
      <w:r>
        <w:rPr>
          <w:color w:val="C30030"/>
          <w:spacing w:val="-14"/>
        </w:rPr>
        <w:t xml:space="preserve"> </w:t>
      </w:r>
      <w:r>
        <w:rPr>
          <w:color w:val="C30030"/>
          <w:spacing w:val="-10"/>
        </w:rPr>
        <w:t>Due</w:t>
      </w:r>
      <w:r>
        <w:rPr>
          <w:color w:val="C30030"/>
          <w:spacing w:val="-13"/>
        </w:rPr>
        <w:t xml:space="preserve"> </w:t>
      </w:r>
      <w:r>
        <w:rPr>
          <w:color w:val="C30030"/>
          <w:spacing w:val="-10"/>
        </w:rPr>
        <w:t>to</w:t>
      </w:r>
    </w:p>
    <w:p w14:paraId="238289A1" w14:textId="77777777" w:rsidR="0084555C" w:rsidRDefault="0030519B">
      <w:pPr>
        <w:pStyle w:val="KonuBal"/>
        <w:spacing w:before="62"/>
      </w:pPr>
      <w:r>
        <w:rPr>
          <w:color w:val="C30030"/>
          <w:spacing w:val="-13"/>
        </w:rPr>
        <w:t xml:space="preserve">Vertical </w:t>
      </w:r>
      <w:r>
        <w:rPr>
          <w:color w:val="C30030"/>
          <w:spacing w:val="-2"/>
        </w:rPr>
        <w:t>Restraints</w:t>
      </w:r>
    </w:p>
    <w:p w14:paraId="61E6B86F" w14:textId="77777777" w:rsidR="0084555C" w:rsidRDefault="0030519B">
      <w:pPr>
        <w:pStyle w:val="GvdeMetni"/>
        <w:spacing w:before="10"/>
        <w:ind w:left="0"/>
        <w:jc w:val="left"/>
        <w:rPr>
          <w:rFonts w:ascii="Cambria"/>
          <w:sz w:val="4"/>
        </w:rPr>
      </w:pPr>
      <w:r>
        <w:rPr>
          <w:noProof/>
        </w:rPr>
        <mc:AlternateContent>
          <mc:Choice Requires="wps">
            <w:drawing>
              <wp:anchor distT="0" distB="0" distL="0" distR="0" simplePos="0" relativeHeight="487587840" behindDoc="1" locked="0" layoutInCell="1" allowOverlap="1" wp14:anchorId="21BD448E" wp14:editId="74FBC7C9">
                <wp:simplePos x="0" y="0"/>
                <wp:positionH relativeFrom="page">
                  <wp:posOffset>881176</wp:posOffset>
                </wp:positionH>
                <wp:positionV relativeFrom="paragraph">
                  <wp:posOffset>51669</wp:posOffset>
                </wp:positionV>
                <wp:extent cx="5798185" cy="27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7940"/>
                        </a:xfrm>
                        <a:custGeom>
                          <a:avLst/>
                          <a:gdLst/>
                          <a:ahLst/>
                          <a:cxnLst/>
                          <a:rect l="l" t="t" r="r" b="b"/>
                          <a:pathLst>
                            <a:path w="5798185" h="27940">
                              <a:moveTo>
                                <a:pt x="5798184" y="0"/>
                              </a:moveTo>
                              <a:lnTo>
                                <a:pt x="0" y="0"/>
                              </a:lnTo>
                              <a:lnTo>
                                <a:pt x="0" y="27431"/>
                              </a:lnTo>
                              <a:lnTo>
                                <a:pt x="5798184" y="27431"/>
                              </a:lnTo>
                              <a:lnTo>
                                <a:pt x="5798184" y="0"/>
                              </a:lnTo>
                              <a:close/>
                            </a:path>
                          </a:pathLst>
                        </a:custGeom>
                        <a:solidFill>
                          <a:srgbClr val="09098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9.384003pt;margin-top:4.068438pt;width:456.55pt;height:2.16pt;mso-position-horizontal-relative:page;mso-position-vertical-relative:paragraph;z-index:-15728640;mso-wrap-distance-left:0;mso-wrap-distance-right:0" id="docshape1" filled="true" fillcolor="#090982" stroked="false">
                <v:fill type="solid"/>
                <w10:wrap type="topAndBottom"/>
              </v:rect>
            </w:pict>
          </mc:Fallback>
        </mc:AlternateContent>
      </w:r>
    </w:p>
    <w:p w14:paraId="6B3E5715" w14:textId="77777777" w:rsidR="0084555C" w:rsidRDefault="0030519B">
      <w:pPr>
        <w:spacing w:before="242"/>
        <w:ind w:left="2709"/>
        <w:rPr>
          <w:sz w:val="26"/>
        </w:rPr>
      </w:pPr>
      <w:r>
        <w:rPr>
          <w:color w:val="001F5F"/>
          <w:sz w:val="26"/>
        </w:rPr>
        <w:t>by</w:t>
      </w:r>
      <w:r>
        <w:rPr>
          <w:color w:val="001F5F"/>
          <w:spacing w:val="-8"/>
          <w:sz w:val="26"/>
        </w:rPr>
        <w:t xml:space="preserve"> </w:t>
      </w:r>
      <w:r>
        <w:rPr>
          <w:color w:val="001F5F"/>
          <w:sz w:val="26"/>
        </w:rPr>
        <w:t>Caner</w:t>
      </w:r>
      <w:r>
        <w:rPr>
          <w:color w:val="001F5F"/>
          <w:spacing w:val="-6"/>
          <w:sz w:val="26"/>
        </w:rPr>
        <w:t xml:space="preserve"> </w:t>
      </w:r>
      <w:r>
        <w:rPr>
          <w:color w:val="001F5F"/>
          <w:sz w:val="26"/>
        </w:rPr>
        <w:t>K.</w:t>
      </w:r>
      <w:r>
        <w:rPr>
          <w:color w:val="001F5F"/>
          <w:spacing w:val="-8"/>
          <w:sz w:val="26"/>
        </w:rPr>
        <w:t xml:space="preserve"> </w:t>
      </w:r>
      <w:proofErr w:type="spellStart"/>
      <w:r>
        <w:rPr>
          <w:color w:val="001F5F"/>
          <w:sz w:val="26"/>
        </w:rPr>
        <w:t>Çeşit</w:t>
      </w:r>
      <w:proofErr w:type="spellEnd"/>
      <w:r>
        <w:rPr>
          <w:color w:val="001F5F"/>
          <w:sz w:val="26"/>
        </w:rPr>
        <w:t>,</w:t>
      </w:r>
      <w:r>
        <w:rPr>
          <w:color w:val="001F5F"/>
          <w:spacing w:val="-7"/>
          <w:sz w:val="26"/>
        </w:rPr>
        <w:t xml:space="preserve"> </w:t>
      </w:r>
      <w:r>
        <w:rPr>
          <w:color w:val="001F5F"/>
          <w:sz w:val="26"/>
        </w:rPr>
        <w:t>Alper</w:t>
      </w:r>
      <w:r>
        <w:rPr>
          <w:color w:val="001F5F"/>
          <w:spacing w:val="-7"/>
          <w:sz w:val="26"/>
        </w:rPr>
        <w:t xml:space="preserve"> </w:t>
      </w:r>
      <w:r>
        <w:rPr>
          <w:color w:val="001F5F"/>
          <w:sz w:val="26"/>
        </w:rPr>
        <w:t>Karafil,</w:t>
      </w:r>
      <w:r>
        <w:rPr>
          <w:color w:val="001F5F"/>
          <w:spacing w:val="-6"/>
          <w:sz w:val="26"/>
        </w:rPr>
        <w:t xml:space="preserve"> </w:t>
      </w:r>
      <w:r>
        <w:rPr>
          <w:color w:val="001F5F"/>
          <w:sz w:val="26"/>
        </w:rPr>
        <w:t>Şamil</w:t>
      </w:r>
      <w:r>
        <w:rPr>
          <w:color w:val="001F5F"/>
          <w:spacing w:val="-6"/>
          <w:sz w:val="26"/>
        </w:rPr>
        <w:t xml:space="preserve"> </w:t>
      </w:r>
      <w:r>
        <w:rPr>
          <w:color w:val="001F5F"/>
          <w:sz w:val="26"/>
        </w:rPr>
        <w:t>Emirhan,</w:t>
      </w:r>
      <w:r>
        <w:rPr>
          <w:color w:val="001F5F"/>
          <w:spacing w:val="-7"/>
          <w:sz w:val="26"/>
        </w:rPr>
        <w:t xml:space="preserve"> </w:t>
      </w:r>
      <w:proofErr w:type="spellStart"/>
      <w:r>
        <w:rPr>
          <w:color w:val="001F5F"/>
          <w:sz w:val="26"/>
        </w:rPr>
        <w:t>Burçe</w:t>
      </w:r>
      <w:proofErr w:type="spellEnd"/>
      <w:r>
        <w:rPr>
          <w:color w:val="001F5F"/>
          <w:spacing w:val="-6"/>
          <w:sz w:val="26"/>
        </w:rPr>
        <w:t xml:space="preserve"> </w:t>
      </w:r>
      <w:r>
        <w:rPr>
          <w:color w:val="001F5F"/>
          <w:sz w:val="26"/>
        </w:rPr>
        <w:t>E.</w:t>
      </w:r>
      <w:r>
        <w:rPr>
          <w:color w:val="001F5F"/>
          <w:spacing w:val="-7"/>
          <w:sz w:val="26"/>
        </w:rPr>
        <w:t xml:space="preserve"> </w:t>
      </w:r>
      <w:r>
        <w:rPr>
          <w:color w:val="001F5F"/>
          <w:spacing w:val="-2"/>
          <w:sz w:val="26"/>
        </w:rPr>
        <w:t>Göçer</w:t>
      </w:r>
    </w:p>
    <w:p w14:paraId="519FBBE3" w14:textId="77777777" w:rsidR="0084555C" w:rsidRDefault="0030519B">
      <w:pPr>
        <w:pStyle w:val="Balk1"/>
        <w:spacing w:before="287"/>
      </w:pPr>
      <w:r>
        <w:rPr>
          <w:color w:val="001F5F"/>
          <w:spacing w:val="-2"/>
        </w:rPr>
        <w:t>Introduction</w:t>
      </w:r>
    </w:p>
    <w:p w14:paraId="77F7C5A8" w14:textId="77777777" w:rsidR="0084555C" w:rsidRDefault="0030519B">
      <w:pPr>
        <w:pStyle w:val="GvdeMetni"/>
        <w:spacing w:before="288" w:line="276" w:lineRule="auto"/>
        <w:ind w:right="133"/>
      </w:pPr>
      <w:r>
        <w:t>On 16.12.2024, the Turkish Competition Authority’s (“</w:t>
      </w:r>
      <w:r>
        <w:rPr>
          <w:b/>
        </w:rPr>
        <w:t>TCA</w:t>
      </w:r>
      <w:r>
        <w:t>”) reasoned decision imposing an administrative fine of TRY 346,911,505.44 (approx. EUR 10.4 million)</w:t>
      </w:r>
      <w:hyperlink w:anchor="_bookmark0" w:history="1">
        <w:r>
          <w:rPr>
            <w:vertAlign w:val="superscript"/>
          </w:rPr>
          <w:t>1</w:t>
        </w:r>
      </w:hyperlink>
      <w:r>
        <w:t xml:space="preserve"> on Nestle Türkiye </w:t>
      </w:r>
      <w:proofErr w:type="spellStart"/>
      <w:r>
        <w:t>Gıda</w:t>
      </w:r>
      <w:proofErr w:type="spellEnd"/>
      <w:r>
        <w:t xml:space="preserve"> Sanayi A.Ş. (“</w:t>
      </w:r>
      <w:r>
        <w:rPr>
          <w:b/>
        </w:rPr>
        <w:t>Nestle</w:t>
      </w:r>
      <w:r>
        <w:t>”) was published on the TCA’s official website</w:t>
      </w:r>
      <w:hyperlink w:anchor="_bookmark1" w:history="1">
        <w:r>
          <w:rPr>
            <w:vertAlign w:val="superscript"/>
          </w:rPr>
          <w:t>2</w:t>
        </w:r>
      </w:hyperlink>
      <w:r>
        <w:t>.</w:t>
      </w:r>
    </w:p>
    <w:p w14:paraId="7766C832" w14:textId="77777777" w:rsidR="0084555C" w:rsidRDefault="0030519B">
      <w:pPr>
        <w:pStyle w:val="GvdeMetni"/>
        <w:spacing w:before="242" w:line="276" w:lineRule="auto"/>
        <w:ind w:right="131"/>
      </w:pPr>
      <w:r>
        <w:t>For the background information, the TCA had initiated a full-fledged investigation on 15.12.2022</w:t>
      </w:r>
      <w:r>
        <w:rPr>
          <w:spacing w:val="-3"/>
        </w:rPr>
        <w:t xml:space="preserve"> </w:t>
      </w:r>
      <w:r>
        <w:t>into</w:t>
      </w:r>
      <w:r>
        <w:rPr>
          <w:spacing w:val="-4"/>
        </w:rPr>
        <w:t xml:space="preserve"> </w:t>
      </w:r>
      <w:r>
        <w:t>Nestle</w:t>
      </w:r>
      <w:r>
        <w:rPr>
          <w:spacing w:val="-7"/>
        </w:rPr>
        <w:t xml:space="preserve"> </w:t>
      </w:r>
      <w:r>
        <w:t>regarding</w:t>
      </w:r>
      <w:r>
        <w:rPr>
          <w:spacing w:val="-7"/>
        </w:rPr>
        <w:t xml:space="preserve"> </w:t>
      </w:r>
      <w:r>
        <w:t>the</w:t>
      </w:r>
      <w:r>
        <w:rPr>
          <w:spacing w:val="-4"/>
        </w:rPr>
        <w:t xml:space="preserve"> </w:t>
      </w:r>
      <w:r>
        <w:t>allegations</w:t>
      </w:r>
      <w:r>
        <w:rPr>
          <w:spacing w:val="-7"/>
        </w:rPr>
        <w:t xml:space="preserve"> </w:t>
      </w:r>
      <w:r>
        <w:t>that</w:t>
      </w:r>
      <w:r>
        <w:rPr>
          <w:spacing w:val="-4"/>
        </w:rPr>
        <w:t xml:space="preserve"> </w:t>
      </w:r>
      <w:r>
        <w:t>the</w:t>
      </w:r>
      <w:r>
        <w:rPr>
          <w:spacing w:val="-7"/>
        </w:rPr>
        <w:t xml:space="preserve"> </w:t>
      </w:r>
      <w:r>
        <w:t>undertaking</w:t>
      </w:r>
      <w:r>
        <w:rPr>
          <w:spacing w:val="-5"/>
        </w:rPr>
        <w:t xml:space="preserve"> </w:t>
      </w:r>
      <w:r>
        <w:t>violated Article</w:t>
      </w:r>
      <w:r>
        <w:rPr>
          <w:spacing w:val="-7"/>
        </w:rPr>
        <w:t xml:space="preserve"> </w:t>
      </w:r>
      <w:r>
        <w:t>4</w:t>
      </w:r>
      <w:r>
        <w:rPr>
          <w:spacing w:val="-7"/>
        </w:rPr>
        <w:t xml:space="preserve"> </w:t>
      </w:r>
      <w:r>
        <w:t>of</w:t>
      </w:r>
      <w:r>
        <w:rPr>
          <w:spacing w:val="-6"/>
        </w:rPr>
        <w:t xml:space="preserve"> </w:t>
      </w:r>
      <w:r>
        <w:t>the Law No. 4054 on the Protection of Competition (“</w:t>
      </w:r>
      <w:r>
        <w:rPr>
          <w:b/>
        </w:rPr>
        <w:t>Competition Law</w:t>
      </w:r>
      <w:r>
        <w:t>”) by means of (</w:t>
      </w:r>
      <w:proofErr w:type="spellStart"/>
      <w:r>
        <w:rPr>
          <w:b/>
        </w:rPr>
        <w:t>i</w:t>
      </w:r>
      <w:proofErr w:type="spellEnd"/>
      <w:r>
        <w:t>) determining</w:t>
      </w:r>
      <w:r>
        <w:rPr>
          <w:spacing w:val="-14"/>
        </w:rPr>
        <w:t xml:space="preserve"> </w:t>
      </w:r>
      <w:r>
        <w:t>the</w:t>
      </w:r>
      <w:r>
        <w:rPr>
          <w:spacing w:val="-14"/>
        </w:rPr>
        <w:t xml:space="preserve"> </w:t>
      </w:r>
      <w:r>
        <w:t>resale</w:t>
      </w:r>
      <w:r>
        <w:rPr>
          <w:spacing w:val="-13"/>
        </w:rPr>
        <w:t xml:space="preserve"> </w:t>
      </w:r>
      <w:r>
        <w:t>prices</w:t>
      </w:r>
      <w:r>
        <w:rPr>
          <w:spacing w:val="-14"/>
        </w:rPr>
        <w:t xml:space="preserve"> </w:t>
      </w:r>
      <w:r>
        <w:t>of</w:t>
      </w:r>
      <w:r>
        <w:rPr>
          <w:spacing w:val="-13"/>
        </w:rPr>
        <w:t xml:space="preserve"> </w:t>
      </w:r>
      <w:r>
        <w:t>its</w:t>
      </w:r>
      <w:r>
        <w:rPr>
          <w:spacing w:val="-14"/>
        </w:rPr>
        <w:t xml:space="preserve"> </w:t>
      </w:r>
      <w:r>
        <w:t>distributors</w:t>
      </w:r>
      <w:r>
        <w:rPr>
          <w:spacing w:val="-11"/>
        </w:rPr>
        <w:t xml:space="preserve"> </w:t>
      </w:r>
      <w:r>
        <w:t>(“</w:t>
      </w:r>
      <w:r>
        <w:rPr>
          <w:b/>
        </w:rPr>
        <w:t>RPM</w:t>
      </w:r>
      <w:r>
        <w:t>”)</w:t>
      </w:r>
      <w:r>
        <w:rPr>
          <w:spacing w:val="-12"/>
        </w:rPr>
        <w:t xml:space="preserve"> </w:t>
      </w:r>
      <w:r>
        <w:t>and</w:t>
      </w:r>
      <w:r>
        <w:rPr>
          <w:spacing w:val="-11"/>
        </w:rPr>
        <w:t xml:space="preserve"> </w:t>
      </w:r>
      <w:r>
        <w:t>(</w:t>
      </w:r>
      <w:r>
        <w:rPr>
          <w:b/>
        </w:rPr>
        <w:t>ii</w:t>
      </w:r>
      <w:r>
        <w:t>)</w:t>
      </w:r>
      <w:r>
        <w:rPr>
          <w:spacing w:val="-13"/>
        </w:rPr>
        <w:t xml:space="preserve"> </w:t>
      </w:r>
      <w:r>
        <w:t>imposing</w:t>
      </w:r>
      <w:r>
        <w:rPr>
          <w:spacing w:val="-12"/>
        </w:rPr>
        <w:t xml:space="preserve"> </w:t>
      </w:r>
      <w:r>
        <w:t>region</w:t>
      </w:r>
      <w:r>
        <w:rPr>
          <w:spacing w:val="-11"/>
        </w:rPr>
        <w:t xml:space="preserve"> </w:t>
      </w:r>
      <w:r>
        <w:t>and</w:t>
      </w:r>
      <w:r>
        <w:rPr>
          <w:spacing w:val="-13"/>
        </w:rPr>
        <w:t xml:space="preserve"> </w:t>
      </w:r>
      <w:r>
        <w:t>customer restrictions</w:t>
      </w:r>
      <w:r>
        <w:rPr>
          <w:spacing w:val="-7"/>
        </w:rPr>
        <w:t xml:space="preserve"> </w:t>
      </w:r>
      <w:r>
        <w:t>to</w:t>
      </w:r>
      <w:r>
        <w:rPr>
          <w:spacing w:val="-6"/>
        </w:rPr>
        <w:t xml:space="preserve"> </w:t>
      </w:r>
      <w:r>
        <w:t>its</w:t>
      </w:r>
      <w:r>
        <w:rPr>
          <w:spacing w:val="-7"/>
        </w:rPr>
        <w:t xml:space="preserve"> </w:t>
      </w:r>
      <w:r>
        <w:t>distributors</w:t>
      </w:r>
      <w:hyperlink w:anchor="_bookmark2" w:history="1">
        <w:r>
          <w:rPr>
            <w:vertAlign w:val="superscript"/>
          </w:rPr>
          <w:t>3</w:t>
        </w:r>
      </w:hyperlink>
      <w:r>
        <w:t>.</w:t>
      </w:r>
      <w:r>
        <w:rPr>
          <w:spacing w:val="-7"/>
        </w:rPr>
        <w:t xml:space="preserve"> </w:t>
      </w:r>
      <w:r>
        <w:t>In</w:t>
      </w:r>
      <w:r>
        <w:rPr>
          <w:spacing w:val="-6"/>
        </w:rPr>
        <w:t xml:space="preserve"> </w:t>
      </w:r>
      <w:r>
        <w:t>line</w:t>
      </w:r>
      <w:r>
        <w:rPr>
          <w:spacing w:val="-6"/>
        </w:rPr>
        <w:t xml:space="preserve"> </w:t>
      </w:r>
      <w:r>
        <w:t>with</w:t>
      </w:r>
      <w:r>
        <w:rPr>
          <w:spacing w:val="-8"/>
        </w:rPr>
        <w:t xml:space="preserve"> </w:t>
      </w:r>
      <w:r>
        <w:t>the</w:t>
      </w:r>
      <w:r>
        <w:rPr>
          <w:spacing w:val="-6"/>
        </w:rPr>
        <w:t xml:space="preserve"> </w:t>
      </w:r>
      <w:r>
        <w:t>case</w:t>
      </w:r>
      <w:r>
        <w:rPr>
          <w:spacing w:val="-8"/>
        </w:rPr>
        <w:t xml:space="preserve"> </w:t>
      </w:r>
      <w:r>
        <w:t>team’s</w:t>
      </w:r>
      <w:r>
        <w:rPr>
          <w:spacing w:val="-7"/>
        </w:rPr>
        <w:t xml:space="preserve"> </w:t>
      </w:r>
      <w:r>
        <w:t>assessments,</w:t>
      </w:r>
      <w:r>
        <w:rPr>
          <w:spacing w:val="-6"/>
        </w:rPr>
        <w:t xml:space="preserve"> </w:t>
      </w:r>
      <w:r>
        <w:t>the</w:t>
      </w:r>
      <w:r>
        <w:rPr>
          <w:spacing w:val="-7"/>
        </w:rPr>
        <w:t xml:space="preserve"> </w:t>
      </w:r>
      <w:r>
        <w:t>TCA</w:t>
      </w:r>
      <w:r>
        <w:rPr>
          <w:spacing w:val="-6"/>
        </w:rPr>
        <w:t xml:space="preserve"> </w:t>
      </w:r>
      <w:r>
        <w:t>decided</w:t>
      </w:r>
      <w:r>
        <w:rPr>
          <w:spacing w:val="-5"/>
        </w:rPr>
        <w:t xml:space="preserve"> </w:t>
      </w:r>
      <w:r>
        <w:t>that Nestle violated Article 4 of the Competition Law via these vertical restraints.</w:t>
      </w:r>
    </w:p>
    <w:p w14:paraId="3D1B2445" w14:textId="77777777" w:rsidR="0084555C" w:rsidRDefault="0030519B">
      <w:pPr>
        <w:pStyle w:val="GvdeMetni"/>
        <w:spacing w:before="240" w:line="276" w:lineRule="auto"/>
        <w:ind w:right="134"/>
      </w:pPr>
      <w:r>
        <w:t>The</w:t>
      </w:r>
      <w:r>
        <w:rPr>
          <w:spacing w:val="-14"/>
        </w:rPr>
        <w:t xml:space="preserve"> </w:t>
      </w:r>
      <w:r>
        <w:t>TCA’s</w:t>
      </w:r>
      <w:r>
        <w:rPr>
          <w:spacing w:val="-14"/>
        </w:rPr>
        <w:t xml:space="preserve"> </w:t>
      </w:r>
      <w:r>
        <w:t>justifications</w:t>
      </w:r>
      <w:r>
        <w:rPr>
          <w:spacing w:val="-13"/>
        </w:rPr>
        <w:t xml:space="preserve"> </w:t>
      </w:r>
      <w:r>
        <w:t>and</w:t>
      </w:r>
      <w:r>
        <w:rPr>
          <w:spacing w:val="-14"/>
        </w:rPr>
        <w:t xml:space="preserve"> </w:t>
      </w:r>
      <w:r>
        <w:t>approach</w:t>
      </w:r>
      <w:r>
        <w:rPr>
          <w:spacing w:val="-13"/>
        </w:rPr>
        <w:t xml:space="preserve"> </w:t>
      </w:r>
      <w:r>
        <w:t>to</w:t>
      </w:r>
      <w:r>
        <w:rPr>
          <w:spacing w:val="-14"/>
        </w:rPr>
        <w:t xml:space="preserve"> </w:t>
      </w:r>
      <w:r>
        <w:t>Nestle’s</w:t>
      </w:r>
      <w:r>
        <w:rPr>
          <w:spacing w:val="-13"/>
        </w:rPr>
        <w:t xml:space="preserve"> </w:t>
      </w:r>
      <w:r>
        <w:t>practices</w:t>
      </w:r>
      <w:r>
        <w:rPr>
          <w:spacing w:val="-14"/>
        </w:rPr>
        <w:t xml:space="preserve"> </w:t>
      </w:r>
      <w:r>
        <w:t>based</w:t>
      </w:r>
      <w:r>
        <w:rPr>
          <w:spacing w:val="-14"/>
        </w:rPr>
        <w:t xml:space="preserve"> </w:t>
      </w:r>
      <w:r>
        <w:t>on</w:t>
      </w:r>
      <w:r>
        <w:rPr>
          <w:spacing w:val="-13"/>
        </w:rPr>
        <w:t xml:space="preserve"> </w:t>
      </w:r>
      <w:r>
        <w:t>the</w:t>
      </w:r>
      <w:r>
        <w:rPr>
          <w:spacing w:val="-14"/>
        </w:rPr>
        <w:t xml:space="preserve"> </w:t>
      </w:r>
      <w:r>
        <w:t>findings</w:t>
      </w:r>
      <w:r>
        <w:rPr>
          <w:spacing w:val="-13"/>
        </w:rPr>
        <w:t xml:space="preserve"> </w:t>
      </w:r>
      <w:proofErr w:type="gramStart"/>
      <w:r>
        <w:t>had</w:t>
      </w:r>
      <w:r>
        <w:rPr>
          <w:spacing w:val="-14"/>
        </w:rPr>
        <w:t xml:space="preserve"> </w:t>
      </w:r>
      <w:r>
        <w:t>remained</w:t>
      </w:r>
      <w:proofErr w:type="gramEnd"/>
      <w:r>
        <w:t xml:space="preserve"> hidden until the publication of the reasoned decision, which will be discussed in this article.</w:t>
      </w:r>
    </w:p>
    <w:p w14:paraId="554B3984" w14:textId="77777777" w:rsidR="0084555C" w:rsidRDefault="0030519B">
      <w:pPr>
        <w:spacing w:before="240"/>
        <w:ind w:left="136"/>
        <w:rPr>
          <w:i/>
          <w:sz w:val="24"/>
        </w:rPr>
      </w:pPr>
      <w:r>
        <w:rPr>
          <w:i/>
          <w:color w:val="001F5F"/>
          <w:sz w:val="24"/>
        </w:rPr>
        <w:t>Assessments</w:t>
      </w:r>
      <w:r>
        <w:rPr>
          <w:i/>
          <w:color w:val="001F5F"/>
          <w:spacing w:val="-4"/>
          <w:sz w:val="24"/>
        </w:rPr>
        <w:t xml:space="preserve"> </w:t>
      </w:r>
      <w:r>
        <w:rPr>
          <w:i/>
          <w:color w:val="001F5F"/>
          <w:sz w:val="24"/>
        </w:rPr>
        <w:t>of</w:t>
      </w:r>
      <w:r>
        <w:rPr>
          <w:i/>
          <w:color w:val="001F5F"/>
          <w:spacing w:val="-1"/>
          <w:sz w:val="24"/>
        </w:rPr>
        <w:t xml:space="preserve"> </w:t>
      </w:r>
      <w:r>
        <w:rPr>
          <w:i/>
          <w:color w:val="001F5F"/>
          <w:spacing w:val="-5"/>
          <w:sz w:val="24"/>
        </w:rPr>
        <w:t>RPM</w:t>
      </w:r>
    </w:p>
    <w:p w14:paraId="41EA5D9C" w14:textId="77777777" w:rsidR="0084555C" w:rsidRDefault="0030519B">
      <w:pPr>
        <w:pStyle w:val="GvdeMetni"/>
        <w:spacing w:before="283" w:line="276" w:lineRule="auto"/>
        <w:ind w:right="133"/>
      </w:pPr>
      <w:r>
        <w:t>Nestle argued that it does not intervene in resale prices of its distributors through pressure, incentive, or coercion and that the prices mentioned in the seized findings were not applied as found during the investigation.</w:t>
      </w:r>
    </w:p>
    <w:p w14:paraId="57160FA6" w14:textId="77777777" w:rsidR="0084555C" w:rsidRDefault="0030519B">
      <w:pPr>
        <w:pStyle w:val="GvdeMetni"/>
        <w:spacing w:before="240" w:line="276" w:lineRule="auto"/>
        <w:ind w:right="134"/>
      </w:pPr>
      <w:r>
        <w:t xml:space="preserve">On the other hand, the TCA assessed that the findings established that Nestle, directly and indirectly, determined the resales prices of its resellers, which is accepted as </w:t>
      </w:r>
      <w:r>
        <w:rPr>
          <w:i/>
        </w:rPr>
        <w:t xml:space="preserve">per se </w:t>
      </w:r>
      <w:r>
        <w:t>violation regardless of its effect on the market:</w:t>
      </w:r>
    </w:p>
    <w:p w14:paraId="04633551" w14:textId="77777777" w:rsidR="0084555C" w:rsidRDefault="0030519B">
      <w:pPr>
        <w:pStyle w:val="GvdeMetni"/>
        <w:spacing w:before="240"/>
        <w:ind w:left="0" w:right="139"/>
        <w:jc w:val="right"/>
      </w:pPr>
      <w:r>
        <w:t>―</w:t>
      </w:r>
      <w:r>
        <w:rPr>
          <w:spacing w:val="56"/>
          <w:w w:val="150"/>
        </w:rPr>
        <w:t xml:space="preserve"> </w:t>
      </w:r>
      <w:r>
        <w:t>In</w:t>
      </w:r>
      <w:r>
        <w:rPr>
          <w:spacing w:val="38"/>
        </w:rPr>
        <w:t xml:space="preserve"> </w:t>
      </w:r>
      <w:r>
        <w:t>Finding-1</w:t>
      </w:r>
      <w:r>
        <w:rPr>
          <w:spacing w:val="39"/>
        </w:rPr>
        <w:t xml:space="preserve"> </w:t>
      </w:r>
      <w:r>
        <w:t>(Nestle’s</w:t>
      </w:r>
      <w:r>
        <w:rPr>
          <w:spacing w:val="39"/>
        </w:rPr>
        <w:t xml:space="preserve"> </w:t>
      </w:r>
      <w:r>
        <w:t>internal</w:t>
      </w:r>
      <w:r>
        <w:rPr>
          <w:spacing w:val="36"/>
        </w:rPr>
        <w:t xml:space="preserve"> </w:t>
      </w:r>
      <w:r>
        <w:t>correspondence),</w:t>
      </w:r>
      <w:r>
        <w:rPr>
          <w:spacing w:val="36"/>
        </w:rPr>
        <w:t xml:space="preserve"> </w:t>
      </w:r>
      <w:r>
        <w:t>it</w:t>
      </w:r>
      <w:r>
        <w:rPr>
          <w:spacing w:val="39"/>
        </w:rPr>
        <w:t xml:space="preserve"> </w:t>
      </w:r>
      <w:r>
        <w:t>is</w:t>
      </w:r>
      <w:r>
        <w:rPr>
          <w:spacing w:val="38"/>
        </w:rPr>
        <w:t xml:space="preserve"> </w:t>
      </w:r>
      <w:r>
        <w:t>understood</w:t>
      </w:r>
      <w:r>
        <w:rPr>
          <w:spacing w:val="36"/>
        </w:rPr>
        <w:t xml:space="preserve"> </w:t>
      </w:r>
      <w:r>
        <w:t>from</w:t>
      </w:r>
      <w:r>
        <w:rPr>
          <w:spacing w:val="37"/>
        </w:rPr>
        <w:t xml:space="preserve"> </w:t>
      </w:r>
      <w:r>
        <w:t>the</w:t>
      </w:r>
      <w:r>
        <w:rPr>
          <w:spacing w:val="38"/>
        </w:rPr>
        <w:t xml:space="preserve"> </w:t>
      </w:r>
      <w:r>
        <w:rPr>
          <w:spacing w:val="-2"/>
        </w:rPr>
        <w:t>phrases</w:t>
      </w:r>
    </w:p>
    <w:p w14:paraId="6D010804" w14:textId="77777777" w:rsidR="0084555C" w:rsidRDefault="0030519B">
      <w:pPr>
        <w:spacing w:before="46"/>
        <w:ind w:right="144"/>
        <w:jc w:val="right"/>
        <w:rPr>
          <w:i/>
          <w:sz w:val="24"/>
        </w:rPr>
      </w:pPr>
      <w:r>
        <w:rPr>
          <w:i/>
          <w:sz w:val="24"/>
        </w:rPr>
        <w:t>“</w:t>
      </w:r>
      <w:proofErr w:type="spellStart"/>
      <w:r>
        <w:rPr>
          <w:i/>
          <w:sz w:val="24"/>
        </w:rPr>
        <w:t>Duyça</w:t>
      </w:r>
      <w:proofErr w:type="spellEnd"/>
      <w:r>
        <w:rPr>
          <w:i/>
          <w:spacing w:val="22"/>
          <w:sz w:val="24"/>
        </w:rPr>
        <w:t xml:space="preserve"> </w:t>
      </w:r>
      <w:r>
        <w:rPr>
          <w:i/>
          <w:sz w:val="24"/>
        </w:rPr>
        <w:t>will</w:t>
      </w:r>
      <w:r>
        <w:rPr>
          <w:i/>
          <w:spacing w:val="24"/>
          <w:sz w:val="24"/>
        </w:rPr>
        <w:t xml:space="preserve"> </w:t>
      </w:r>
      <w:r>
        <w:rPr>
          <w:i/>
          <w:sz w:val="24"/>
        </w:rPr>
        <w:t>sell</w:t>
      </w:r>
      <w:r>
        <w:rPr>
          <w:i/>
          <w:spacing w:val="23"/>
          <w:sz w:val="24"/>
        </w:rPr>
        <w:t xml:space="preserve"> </w:t>
      </w:r>
      <w:r>
        <w:rPr>
          <w:i/>
          <w:sz w:val="24"/>
        </w:rPr>
        <w:t>the</w:t>
      </w:r>
      <w:r>
        <w:rPr>
          <w:i/>
          <w:spacing w:val="25"/>
          <w:sz w:val="24"/>
        </w:rPr>
        <w:t xml:space="preserve"> </w:t>
      </w:r>
      <w:r>
        <w:rPr>
          <w:i/>
          <w:sz w:val="24"/>
        </w:rPr>
        <w:t>goods</w:t>
      </w:r>
      <w:r>
        <w:rPr>
          <w:i/>
          <w:spacing w:val="26"/>
          <w:sz w:val="24"/>
        </w:rPr>
        <w:t xml:space="preserve"> </w:t>
      </w:r>
      <w:r>
        <w:rPr>
          <w:i/>
          <w:sz w:val="24"/>
        </w:rPr>
        <w:t>to</w:t>
      </w:r>
      <w:r>
        <w:rPr>
          <w:i/>
          <w:spacing w:val="24"/>
          <w:sz w:val="24"/>
        </w:rPr>
        <w:t xml:space="preserve"> </w:t>
      </w:r>
      <w:proofErr w:type="spellStart"/>
      <w:r>
        <w:rPr>
          <w:i/>
          <w:sz w:val="24"/>
        </w:rPr>
        <w:t>Promas</w:t>
      </w:r>
      <w:proofErr w:type="spellEnd"/>
      <w:r>
        <w:rPr>
          <w:i/>
          <w:spacing w:val="26"/>
          <w:sz w:val="24"/>
        </w:rPr>
        <w:t xml:space="preserve"> </w:t>
      </w:r>
      <w:r>
        <w:rPr>
          <w:i/>
          <w:sz w:val="24"/>
        </w:rPr>
        <w:t>at</w:t>
      </w:r>
      <w:r>
        <w:rPr>
          <w:i/>
          <w:spacing w:val="25"/>
          <w:sz w:val="24"/>
        </w:rPr>
        <w:t xml:space="preserve"> </w:t>
      </w:r>
      <w:r>
        <w:rPr>
          <w:i/>
          <w:sz w:val="24"/>
        </w:rPr>
        <w:t>its</w:t>
      </w:r>
      <w:r>
        <w:rPr>
          <w:i/>
          <w:spacing w:val="26"/>
          <w:sz w:val="24"/>
        </w:rPr>
        <w:t xml:space="preserve"> </w:t>
      </w:r>
      <w:r>
        <w:rPr>
          <w:i/>
          <w:sz w:val="24"/>
        </w:rPr>
        <w:t>old</w:t>
      </w:r>
      <w:r>
        <w:rPr>
          <w:i/>
          <w:spacing w:val="26"/>
          <w:sz w:val="24"/>
        </w:rPr>
        <w:t xml:space="preserve"> </w:t>
      </w:r>
      <w:r>
        <w:rPr>
          <w:i/>
          <w:sz w:val="24"/>
        </w:rPr>
        <w:t>purchase</w:t>
      </w:r>
      <w:r>
        <w:rPr>
          <w:i/>
          <w:spacing w:val="26"/>
          <w:sz w:val="24"/>
        </w:rPr>
        <w:t xml:space="preserve"> </w:t>
      </w:r>
      <w:r>
        <w:rPr>
          <w:i/>
          <w:sz w:val="24"/>
        </w:rPr>
        <w:t>price</w:t>
      </w:r>
      <w:r>
        <w:rPr>
          <w:i/>
          <w:spacing w:val="25"/>
          <w:sz w:val="24"/>
        </w:rPr>
        <w:t xml:space="preserve"> </w:t>
      </w:r>
      <w:r>
        <w:rPr>
          <w:i/>
          <w:sz w:val="24"/>
        </w:rPr>
        <w:t>by</w:t>
      </w:r>
      <w:r>
        <w:rPr>
          <w:i/>
          <w:spacing w:val="26"/>
          <w:sz w:val="24"/>
        </w:rPr>
        <w:t xml:space="preserve"> </w:t>
      </w:r>
      <w:r>
        <w:rPr>
          <w:i/>
          <w:sz w:val="24"/>
        </w:rPr>
        <w:t>putting</w:t>
      </w:r>
      <w:r>
        <w:rPr>
          <w:i/>
          <w:spacing w:val="24"/>
          <w:sz w:val="24"/>
        </w:rPr>
        <w:t xml:space="preserve"> </w:t>
      </w:r>
      <w:r>
        <w:rPr>
          <w:i/>
          <w:sz w:val="24"/>
        </w:rPr>
        <w:t>8%</w:t>
      </w:r>
      <w:r>
        <w:rPr>
          <w:i/>
          <w:spacing w:val="27"/>
          <w:sz w:val="24"/>
        </w:rPr>
        <w:t xml:space="preserve"> </w:t>
      </w:r>
      <w:r>
        <w:rPr>
          <w:i/>
          <w:spacing w:val="-2"/>
          <w:sz w:val="24"/>
        </w:rPr>
        <w:t>profit.</w:t>
      </w:r>
    </w:p>
    <w:p w14:paraId="5B9D6601" w14:textId="77777777" w:rsidR="0084555C" w:rsidRDefault="0030519B">
      <w:pPr>
        <w:pStyle w:val="GvdeMetni"/>
        <w:spacing w:before="3"/>
        <w:ind w:left="0"/>
        <w:jc w:val="left"/>
        <w:rPr>
          <w:i/>
          <w:sz w:val="18"/>
        </w:rPr>
      </w:pPr>
      <w:r>
        <w:rPr>
          <w:noProof/>
        </w:rPr>
        <mc:AlternateContent>
          <mc:Choice Requires="wps">
            <w:drawing>
              <wp:anchor distT="0" distB="0" distL="0" distR="0" simplePos="0" relativeHeight="487588352" behindDoc="1" locked="0" layoutInCell="1" allowOverlap="1" wp14:anchorId="7A2C5FCE" wp14:editId="1364505C">
                <wp:simplePos x="0" y="0"/>
                <wp:positionH relativeFrom="page">
                  <wp:posOffset>899464</wp:posOffset>
                </wp:positionH>
                <wp:positionV relativeFrom="paragraph">
                  <wp:posOffset>157218</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823997pt;margin-top:12.379423pt;width:144.020pt;height:.84003pt;mso-position-horizontal-relative:page;mso-position-vertical-relative:paragraph;z-index:-15728128;mso-wrap-distance-left:0;mso-wrap-distance-right:0" id="docshape2" filled="true" fillcolor="#000000" stroked="false">
                <v:fill type="solid"/>
                <w10:wrap type="topAndBottom"/>
              </v:rect>
            </w:pict>
          </mc:Fallback>
        </mc:AlternateContent>
      </w:r>
    </w:p>
    <w:p w14:paraId="405F2B93" w14:textId="77777777" w:rsidR="0084555C" w:rsidRDefault="0084555C">
      <w:pPr>
        <w:pStyle w:val="GvdeMetni"/>
        <w:ind w:left="0"/>
        <w:jc w:val="left"/>
        <w:rPr>
          <w:i/>
          <w:sz w:val="18"/>
        </w:rPr>
      </w:pPr>
    </w:p>
    <w:p w14:paraId="1E177FDE" w14:textId="77777777" w:rsidR="0084555C" w:rsidRDefault="0084555C">
      <w:pPr>
        <w:pStyle w:val="GvdeMetni"/>
        <w:spacing w:before="82"/>
        <w:ind w:left="0"/>
        <w:jc w:val="left"/>
        <w:rPr>
          <w:i/>
          <w:sz w:val="18"/>
        </w:rPr>
      </w:pPr>
    </w:p>
    <w:p w14:paraId="06913CD9" w14:textId="77777777" w:rsidR="0084555C" w:rsidRDefault="0030519B">
      <w:pPr>
        <w:ind w:left="136" w:right="139"/>
        <w:jc w:val="both"/>
        <w:rPr>
          <w:sz w:val="18"/>
        </w:rPr>
      </w:pPr>
      <w:bookmarkStart w:id="0" w:name="_bookmark0"/>
      <w:bookmarkEnd w:id="0"/>
      <w:r>
        <w:rPr>
          <w:position w:val="5"/>
          <w:sz w:val="12"/>
        </w:rPr>
        <w:t>1</w:t>
      </w:r>
      <w:r>
        <w:rPr>
          <w:spacing w:val="22"/>
          <w:position w:val="5"/>
          <w:sz w:val="12"/>
        </w:rPr>
        <w:t xml:space="preserve"> </w:t>
      </w:r>
      <w:r>
        <w:rPr>
          <w:sz w:val="18"/>
        </w:rPr>
        <w:t>In the calculation of the administrative fine in terms of EUR, the average buying rate of exchange of the Central Bank of Turkey for 21.02.2024, which is the date of announcement of the short-form decision, was taken into consideration as the rate of exchange. For 21.02.2024, this rate was EUR 1 = TRY 33.39.</w:t>
      </w:r>
    </w:p>
    <w:p w14:paraId="0CD7F21B" w14:textId="77777777" w:rsidR="0084555C" w:rsidRDefault="0030519B">
      <w:pPr>
        <w:spacing w:before="121"/>
        <w:ind w:left="136"/>
        <w:jc w:val="both"/>
        <w:rPr>
          <w:sz w:val="18"/>
        </w:rPr>
      </w:pPr>
      <w:bookmarkStart w:id="1" w:name="_bookmark1"/>
      <w:bookmarkEnd w:id="1"/>
      <w:r>
        <w:rPr>
          <w:position w:val="5"/>
          <w:sz w:val="12"/>
        </w:rPr>
        <w:t>2</w:t>
      </w:r>
      <w:r>
        <w:rPr>
          <w:spacing w:val="10"/>
          <w:position w:val="5"/>
          <w:sz w:val="12"/>
        </w:rPr>
        <w:t xml:space="preserve"> </w:t>
      </w:r>
      <w:r>
        <w:rPr>
          <w:sz w:val="18"/>
        </w:rPr>
        <w:t>The</w:t>
      </w:r>
      <w:r>
        <w:rPr>
          <w:spacing w:val="-3"/>
          <w:sz w:val="18"/>
        </w:rPr>
        <w:t xml:space="preserve"> </w:t>
      </w:r>
      <w:r>
        <w:rPr>
          <w:sz w:val="18"/>
        </w:rPr>
        <w:t>TCA’s</w:t>
      </w:r>
      <w:r>
        <w:rPr>
          <w:spacing w:val="-3"/>
          <w:sz w:val="18"/>
        </w:rPr>
        <w:t xml:space="preserve"> </w:t>
      </w:r>
      <w:r>
        <w:rPr>
          <w:sz w:val="18"/>
        </w:rPr>
        <w:t>decision</w:t>
      </w:r>
      <w:r>
        <w:rPr>
          <w:spacing w:val="-2"/>
          <w:sz w:val="18"/>
        </w:rPr>
        <w:t xml:space="preserve"> </w:t>
      </w:r>
      <w:r>
        <w:rPr>
          <w:sz w:val="18"/>
        </w:rPr>
        <w:t>dated</w:t>
      </w:r>
      <w:r>
        <w:rPr>
          <w:spacing w:val="-2"/>
          <w:sz w:val="18"/>
        </w:rPr>
        <w:t xml:space="preserve"> </w:t>
      </w:r>
      <w:r>
        <w:rPr>
          <w:sz w:val="18"/>
        </w:rPr>
        <w:t>15.02.2024</w:t>
      </w:r>
      <w:r>
        <w:rPr>
          <w:spacing w:val="-3"/>
          <w:sz w:val="18"/>
        </w:rPr>
        <w:t xml:space="preserve"> </w:t>
      </w:r>
      <w:r>
        <w:rPr>
          <w:sz w:val="18"/>
        </w:rPr>
        <w:t>and</w:t>
      </w:r>
      <w:r>
        <w:rPr>
          <w:spacing w:val="-3"/>
          <w:sz w:val="18"/>
        </w:rPr>
        <w:t xml:space="preserve"> </w:t>
      </w:r>
      <w:r>
        <w:rPr>
          <w:sz w:val="18"/>
        </w:rPr>
        <w:t>numbered</w:t>
      </w:r>
      <w:r>
        <w:rPr>
          <w:spacing w:val="-2"/>
          <w:sz w:val="18"/>
        </w:rPr>
        <w:t xml:space="preserve"> </w:t>
      </w:r>
      <w:r>
        <w:rPr>
          <w:sz w:val="18"/>
        </w:rPr>
        <w:t>24-08/149-</w:t>
      </w:r>
      <w:r>
        <w:rPr>
          <w:spacing w:val="-5"/>
          <w:sz w:val="18"/>
        </w:rPr>
        <w:t>61.</w:t>
      </w:r>
    </w:p>
    <w:p w14:paraId="536F9BCC" w14:textId="77777777" w:rsidR="0084555C" w:rsidRDefault="0030519B">
      <w:pPr>
        <w:spacing w:before="119"/>
        <w:ind w:left="136"/>
        <w:jc w:val="both"/>
        <w:rPr>
          <w:sz w:val="18"/>
        </w:rPr>
      </w:pPr>
      <w:bookmarkStart w:id="2" w:name="_bookmark2"/>
      <w:bookmarkEnd w:id="2"/>
      <w:r>
        <w:rPr>
          <w:position w:val="5"/>
          <w:sz w:val="12"/>
        </w:rPr>
        <w:t>3</w:t>
      </w:r>
      <w:r>
        <w:rPr>
          <w:spacing w:val="8"/>
          <w:position w:val="5"/>
          <w:sz w:val="12"/>
        </w:rPr>
        <w:t xml:space="preserve"> </w:t>
      </w:r>
      <w:r>
        <w:rPr>
          <w:sz w:val="18"/>
        </w:rPr>
        <w:t>The</w:t>
      </w:r>
      <w:r>
        <w:rPr>
          <w:spacing w:val="-3"/>
          <w:sz w:val="18"/>
        </w:rPr>
        <w:t xml:space="preserve"> </w:t>
      </w:r>
      <w:r>
        <w:rPr>
          <w:sz w:val="18"/>
        </w:rPr>
        <w:t>TCA’s</w:t>
      </w:r>
      <w:r>
        <w:rPr>
          <w:spacing w:val="-2"/>
          <w:sz w:val="18"/>
        </w:rPr>
        <w:t xml:space="preserve"> </w:t>
      </w:r>
      <w:r>
        <w:rPr>
          <w:sz w:val="18"/>
        </w:rPr>
        <w:t>announcement</w:t>
      </w:r>
      <w:r>
        <w:rPr>
          <w:spacing w:val="-2"/>
          <w:sz w:val="18"/>
        </w:rPr>
        <w:t xml:space="preserve"> </w:t>
      </w:r>
      <w:r>
        <w:rPr>
          <w:sz w:val="18"/>
        </w:rPr>
        <w:t>regarding</w:t>
      </w:r>
      <w:r>
        <w:rPr>
          <w:spacing w:val="-3"/>
          <w:sz w:val="18"/>
        </w:rPr>
        <w:t xml:space="preserve"> </w:t>
      </w:r>
      <w:r>
        <w:rPr>
          <w:sz w:val="18"/>
        </w:rPr>
        <w:t>the initiation</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investigation</w:t>
      </w:r>
      <w:r>
        <w:rPr>
          <w:spacing w:val="-2"/>
          <w:sz w:val="18"/>
        </w:rPr>
        <w:t xml:space="preserve"> </w:t>
      </w:r>
      <w:r>
        <w:rPr>
          <w:sz w:val="18"/>
        </w:rPr>
        <w:t>is</w:t>
      </w:r>
      <w:r>
        <w:rPr>
          <w:spacing w:val="-3"/>
          <w:sz w:val="18"/>
        </w:rPr>
        <w:t xml:space="preserve"> </w:t>
      </w:r>
      <w:r>
        <w:rPr>
          <w:sz w:val="18"/>
        </w:rPr>
        <w:t>available</w:t>
      </w:r>
      <w:r>
        <w:rPr>
          <w:spacing w:val="-2"/>
          <w:sz w:val="18"/>
        </w:rPr>
        <w:t xml:space="preserve"> </w:t>
      </w:r>
      <w:r>
        <w:rPr>
          <w:sz w:val="18"/>
        </w:rPr>
        <w:t>in</w:t>
      </w:r>
      <w:r>
        <w:rPr>
          <w:spacing w:val="-4"/>
          <w:sz w:val="18"/>
        </w:rPr>
        <w:t xml:space="preserve"> </w:t>
      </w:r>
      <w:r>
        <w:rPr>
          <w:sz w:val="18"/>
        </w:rPr>
        <w:t>English</w:t>
      </w:r>
      <w:r>
        <w:rPr>
          <w:spacing w:val="-1"/>
          <w:sz w:val="18"/>
        </w:rPr>
        <w:t xml:space="preserve"> </w:t>
      </w:r>
      <w:hyperlink r:id="rId7">
        <w:r>
          <w:rPr>
            <w:color w:val="0000FF"/>
            <w:spacing w:val="-2"/>
            <w:sz w:val="18"/>
            <w:u w:val="single" w:color="0000FF"/>
          </w:rPr>
          <w:t>here</w:t>
        </w:r>
        <w:r>
          <w:rPr>
            <w:spacing w:val="-2"/>
            <w:sz w:val="18"/>
          </w:rPr>
          <w:t>.</w:t>
        </w:r>
      </w:hyperlink>
    </w:p>
    <w:p w14:paraId="7BB8BE77" w14:textId="77777777" w:rsidR="0084555C" w:rsidRDefault="0030519B">
      <w:pPr>
        <w:spacing w:before="118"/>
        <w:ind w:left="3564" w:right="304" w:hanging="2495"/>
        <w:rPr>
          <w:sz w:val="16"/>
        </w:rPr>
      </w:pPr>
      <w:proofErr w:type="spellStart"/>
      <w:r>
        <w:rPr>
          <w:sz w:val="16"/>
        </w:rPr>
        <w:t>Çamlıca</w:t>
      </w:r>
      <w:proofErr w:type="spellEnd"/>
      <w:r>
        <w:rPr>
          <w:spacing w:val="-2"/>
          <w:sz w:val="16"/>
        </w:rPr>
        <w:t xml:space="preserve"> </w:t>
      </w:r>
      <w:proofErr w:type="spellStart"/>
      <w:r>
        <w:rPr>
          <w:sz w:val="16"/>
        </w:rPr>
        <w:t>Köşkü</w:t>
      </w:r>
      <w:proofErr w:type="spellEnd"/>
      <w:r>
        <w:rPr>
          <w:sz w:val="16"/>
        </w:rPr>
        <w:t>,</w:t>
      </w:r>
      <w:r>
        <w:rPr>
          <w:spacing w:val="-2"/>
          <w:sz w:val="16"/>
        </w:rPr>
        <w:t xml:space="preserve"> </w:t>
      </w:r>
      <w:proofErr w:type="spellStart"/>
      <w:r>
        <w:rPr>
          <w:sz w:val="16"/>
        </w:rPr>
        <w:t>Tekkeci</w:t>
      </w:r>
      <w:proofErr w:type="spellEnd"/>
      <w:r>
        <w:rPr>
          <w:spacing w:val="-2"/>
          <w:sz w:val="16"/>
        </w:rPr>
        <w:t xml:space="preserve"> </w:t>
      </w:r>
      <w:r>
        <w:rPr>
          <w:sz w:val="16"/>
        </w:rPr>
        <w:t>Sok.</w:t>
      </w:r>
      <w:r>
        <w:rPr>
          <w:spacing w:val="-2"/>
          <w:sz w:val="16"/>
        </w:rPr>
        <w:t xml:space="preserve"> </w:t>
      </w:r>
      <w:r>
        <w:rPr>
          <w:sz w:val="16"/>
        </w:rPr>
        <w:t>No:</w:t>
      </w:r>
      <w:r>
        <w:rPr>
          <w:spacing w:val="-2"/>
          <w:sz w:val="16"/>
        </w:rPr>
        <w:t xml:space="preserve"> </w:t>
      </w:r>
      <w:r>
        <w:rPr>
          <w:sz w:val="16"/>
        </w:rPr>
        <w:t>3-5,</w:t>
      </w:r>
      <w:r>
        <w:rPr>
          <w:spacing w:val="-3"/>
          <w:sz w:val="16"/>
        </w:rPr>
        <w:t xml:space="preserve"> </w:t>
      </w:r>
      <w:proofErr w:type="spellStart"/>
      <w:r>
        <w:rPr>
          <w:sz w:val="16"/>
        </w:rPr>
        <w:t>Arnavutköy</w:t>
      </w:r>
      <w:proofErr w:type="spellEnd"/>
      <w:r>
        <w:rPr>
          <w:spacing w:val="-2"/>
          <w:sz w:val="16"/>
        </w:rPr>
        <w:t xml:space="preserve"> </w:t>
      </w:r>
      <w:r>
        <w:rPr>
          <w:sz w:val="16"/>
        </w:rPr>
        <w:t>•</w:t>
      </w:r>
      <w:r>
        <w:rPr>
          <w:spacing w:val="-3"/>
          <w:sz w:val="16"/>
        </w:rPr>
        <w:t xml:space="preserve"> </w:t>
      </w:r>
      <w:r>
        <w:rPr>
          <w:sz w:val="16"/>
        </w:rPr>
        <w:t>34345•</w:t>
      </w:r>
      <w:r>
        <w:rPr>
          <w:spacing w:val="-2"/>
          <w:sz w:val="16"/>
        </w:rPr>
        <w:t xml:space="preserve"> </w:t>
      </w:r>
      <w:r>
        <w:rPr>
          <w:sz w:val="16"/>
        </w:rPr>
        <w:t>Beşiktaş</w:t>
      </w:r>
      <w:r>
        <w:rPr>
          <w:spacing w:val="-2"/>
          <w:sz w:val="16"/>
        </w:rPr>
        <w:t xml:space="preserve"> </w:t>
      </w:r>
      <w:r>
        <w:rPr>
          <w:sz w:val="16"/>
        </w:rPr>
        <w:t>•</w:t>
      </w:r>
      <w:r>
        <w:rPr>
          <w:spacing w:val="-3"/>
          <w:sz w:val="16"/>
        </w:rPr>
        <w:t xml:space="preserve"> </w:t>
      </w:r>
      <w:r>
        <w:rPr>
          <w:sz w:val="16"/>
        </w:rPr>
        <w:t>İstanbul</w:t>
      </w:r>
      <w:r>
        <w:rPr>
          <w:spacing w:val="-2"/>
          <w:sz w:val="16"/>
        </w:rPr>
        <w:t xml:space="preserve"> </w:t>
      </w:r>
      <w:r>
        <w:rPr>
          <w:sz w:val="16"/>
        </w:rPr>
        <w:t>•</w:t>
      </w:r>
      <w:r>
        <w:rPr>
          <w:spacing w:val="-3"/>
          <w:sz w:val="16"/>
        </w:rPr>
        <w:t xml:space="preserve"> </w:t>
      </w:r>
      <w:r>
        <w:rPr>
          <w:sz w:val="16"/>
        </w:rPr>
        <w:t>TÜRKİYE</w:t>
      </w:r>
      <w:r>
        <w:rPr>
          <w:spacing w:val="-2"/>
          <w:sz w:val="16"/>
        </w:rPr>
        <w:t xml:space="preserve"> </w:t>
      </w:r>
      <w:r>
        <w:rPr>
          <w:sz w:val="16"/>
        </w:rPr>
        <w:t>•Tel:</w:t>
      </w:r>
      <w:r>
        <w:rPr>
          <w:spacing w:val="-2"/>
          <w:sz w:val="16"/>
        </w:rPr>
        <w:t xml:space="preserve"> </w:t>
      </w:r>
      <w:r>
        <w:rPr>
          <w:sz w:val="16"/>
        </w:rPr>
        <w:t>(212)</w:t>
      </w:r>
      <w:r>
        <w:rPr>
          <w:spacing w:val="-2"/>
          <w:sz w:val="16"/>
        </w:rPr>
        <w:t xml:space="preserve"> </w:t>
      </w:r>
      <w:r>
        <w:rPr>
          <w:sz w:val="16"/>
        </w:rPr>
        <w:t>211</w:t>
      </w:r>
      <w:r>
        <w:rPr>
          <w:spacing w:val="-2"/>
          <w:sz w:val="16"/>
        </w:rPr>
        <w:t xml:space="preserve"> </w:t>
      </w:r>
      <w:r>
        <w:rPr>
          <w:sz w:val="16"/>
        </w:rPr>
        <w:t>5011</w:t>
      </w:r>
      <w:r>
        <w:rPr>
          <w:spacing w:val="-2"/>
          <w:sz w:val="16"/>
        </w:rPr>
        <w:t xml:space="preserve"> </w:t>
      </w:r>
      <w:r>
        <w:rPr>
          <w:sz w:val="16"/>
        </w:rPr>
        <w:t>•</w:t>
      </w:r>
      <w:r>
        <w:rPr>
          <w:spacing w:val="40"/>
          <w:sz w:val="16"/>
        </w:rPr>
        <w:t xml:space="preserve"> </w:t>
      </w:r>
      <w:r>
        <w:rPr>
          <w:sz w:val="16"/>
        </w:rPr>
        <w:t xml:space="preserve">actecon.com • </w:t>
      </w:r>
      <w:hyperlink r:id="rId8">
        <w:r>
          <w:rPr>
            <w:sz w:val="16"/>
          </w:rPr>
          <w:t>info@actecon.com</w:t>
        </w:r>
      </w:hyperlink>
    </w:p>
    <w:p w14:paraId="796FE7DE" w14:textId="77777777" w:rsidR="0084555C" w:rsidRDefault="0084555C">
      <w:pPr>
        <w:rPr>
          <w:sz w:val="16"/>
        </w:rPr>
        <w:sectPr w:rsidR="0084555C">
          <w:type w:val="continuous"/>
          <w:pgSz w:w="11910" w:h="16840"/>
          <w:pgMar w:top="880" w:right="1280" w:bottom="280" w:left="1280" w:header="708" w:footer="708" w:gutter="0"/>
          <w:cols w:space="708"/>
        </w:sectPr>
      </w:pPr>
    </w:p>
    <w:p w14:paraId="551F2D9A" w14:textId="77777777" w:rsidR="0084555C" w:rsidRDefault="0030519B">
      <w:pPr>
        <w:spacing w:before="37" w:line="276" w:lineRule="auto"/>
        <w:ind w:left="856" w:right="131"/>
        <w:jc w:val="both"/>
        <w:rPr>
          <w:sz w:val="24"/>
        </w:rPr>
      </w:pPr>
      <w:proofErr w:type="spellStart"/>
      <w:r>
        <w:rPr>
          <w:i/>
          <w:sz w:val="24"/>
        </w:rPr>
        <w:lastRenderedPageBreak/>
        <w:t>Promas</w:t>
      </w:r>
      <w:proofErr w:type="spellEnd"/>
      <w:r>
        <w:rPr>
          <w:i/>
          <w:sz w:val="24"/>
        </w:rPr>
        <w:t xml:space="preserve"> will give 45 </w:t>
      </w:r>
      <w:proofErr w:type="spellStart"/>
      <w:r>
        <w:rPr>
          <w:i/>
          <w:sz w:val="24"/>
        </w:rPr>
        <w:t>days</w:t>
      </w:r>
      <w:proofErr w:type="spellEnd"/>
      <w:r>
        <w:rPr>
          <w:i/>
          <w:sz w:val="24"/>
        </w:rPr>
        <w:t xml:space="preserve"> postdated cheque.”, “I have set the sale price of the product from </w:t>
      </w:r>
      <w:proofErr w:type="spellStart"/>
      <w:r>
        <w:rPr>
          <w:i/>
          <w:sz w:val="24"/>
        </w:rPr>
        <w:t>Promas</w:t>
      </w:r>
      <w:proofErr w:type="spellEnd"/>
      <w:r>
        <w:rPr>
          <w:i/>
          <w:sz w:val="24"/>
        </w:rPr>
        <w:t xml:space="preserve"> as 24.70.” </w:t>
      </w:r>
      <w:r>
        <w:rPr>
          <w:sz w:val="24"/>
        </w:rPr>
        <w:t xml:space="preserve">and </w:t>
      </w:r>
      <w:r>
        <w:rPr>
          <w:i/>
          <w:sz w:val="24"/>
        </w:rPr>
        <w:t>“Please talk to your distributors and seal the issue.”</w:t>
      </w:r>
      <w:r>
        <w:rPr>
          <w:i/>
          <w:spacing w:val="40"/>
          <w:sz w:val="24"/>
        </w:rPr>
        <w:t xml:space="preserve"> </w:t>
      </w:r>
      <w:r>
        <w:rPr>
          <w:sz w:val="24"/>
        </w:rPr>
        <w:t xml:space="preserve">that Nestle’s managers instructed Nestle employees to directly intervene in the resale prices of </w:t>
      </w:r>
      <w:proofErr w:type="spellStart"/>
      <w:r>
        <w:rPr>
          <w:sz w:val="24"/>
        </w:rPr>
        <w:t>Duyça</w:t>
      </w:r>
      <w:proofErr w:type="spellEnd"/>
      <w:r>
        <w:rPr>
          <w:sz w:val="24"/>
        </w:rPr>
        <w:t xml:space="preserve"> and </w:t>
      </w:r>
      <w:proofErr w:type="spellStart"/>
      <w:r>
        <w:rPr>
          <w:sz w:val="24"/>
        </w:rPr>
        <w:t>Promas</w:t>
      </w:r>
      <w:proofErr w:type="spellEnd"/>
      <w:r>
        <w:rPr>
          <w:sz w:val="24"/>
        </w:rPr>
        <w:t xml:space="preserve">, which are the distributors of Nestle. Upon this correspondence, one Nestle employee </w:t>
      </w:r>
      <w:proofErr w:type="spellStart"/>
      <w:r>
        <w:rPr>
          <w:sz w:val="24"/>
        </w:rPr>
        <w:t>realised</w:t>
      </w:r>
      <w:proofErr w:type="spellEnd"/>
      <w:r>
        <w:rPr>
          <w:sz w:val="24"/>
        </w:rPr>
        <w:t xml:space="preserve"> that this might not </w:t>
      </w:r>
      <w:proofErr w:type="gramStart"/>
      <w:r>
        <w:rPr>
          <w:sz w:val="24"/>
        </w:rPr>
        <w:t>be in compliance with</w:t>
      </w:r>
      <w:proofErr w:type="gramEnd"/>
      <w:r>
        <w:rPr>
          <w:sz w:val="24"/>
        </w:rPr>
        <w:t xml:space="preserve"> the Competition Law and informed the relevant internal departments.</w:t>
      </w:r>
    </w:p>
    <w:p w14:paraId="282553D3" w14:textId="77777777" w:rsidR="0084555C" w:rsidRDefault="0030519B">
      <w:pPr>
        <w:pStyle w:val="GvdeMetni"/>
        <w:spacing w:before="242" w:line="276" w:lineRule="auto"/>
        <w:ind w:left="856" w:right="133" w:hanging="360"/>
      </w:pPr>
      <w:r>
        <w:t>―</w:t>
      </w:r>
      <w:r>
        <w:rPr>
          <w:spacing w:val="40"/>
        </w:rPr>
        <w:t xml:space="preserve"> </w:t>
      </w:r>
      <w:r>
        <w:t>In Finding-2, it was seen that the correspondences in Finding-1 were forwarded to an independent audit firm by Nestle and complained that Nestle determined the resale prices as well as the purchase prices of the distributors. From the phrases “</w:t>
      </w:r>
      <w:proofErr w:type="spellStart"/>
      <w:r>
        <w:t>Duyça</w:t>
      </w:r>
      <w:proofErr w:type="spellEnd"/>
      <w:r>
        <w:t xml:space="preserve"> Margin”,</w:t>
      </w:r>
      <w:r>
        <w:rPr>
          <w:spacing w:val="-5"/>
        </w:rPr>
        <w:t xml:space="preserve"> </w:t>
      </w:r>
      <w:r>
        <w:t>“</w:t>
      </w:r>
      <w:proofErr w:type="spellStart"/>
      <w:r>
        <w:t>Promas</w:t>
      </w:r>
      <w:proofErr w:type="spellEnd"/>
      <w:r>
        <w:rPr>
          <w:spacing w:val="-3"/>
        </w:rPr>
        <w:t xml:space="preserve"> </w:t>
      </w:r>
      <w:r>
        <w:t>Sales”,</w:t>
      </w:r>
      <w:r>
        <w:rPr>
          <w:spacing w:val="-3"/>
        </w:rPr>
        <w:t xml:space="preserve"> </w:t>
      </w:r>
      <w:r>
        <w:t>“</w:t>
      </w:r>
      <w:proofErr w:type="spellStart"/>
      <w:r>
        <w:t>Duyça</w:t>
      </w:r>
      <w:proofErr w:type="spellEnd"/>
      <w:r>
        <w:rPr>
          <w:spacing w:val="-5"/>
        </w:rPr>
        <w:t xml:space="preserve"> </w:t>
      </w:r>
      <w:r>
        <w:t>Discount”,</w:t>
      </w:r>
      <w:r>
        <w:rPr>
          <w:spacing w:val="-2"/>
        </w:rPr>
        <w:t xml:space="preserve"> </w:t>
      </w:r>
      <w:r>
        <w:t>“Sales</w:t>
      </w:r>
      <w:r>
        <w:rPr>
          <w:spacing w:val="-3"/>
        </w:rPr>
        <w:t xml:space="preserve"> </w:t>
      </w:r>
      <w:r>
        <w:t>Price”</w:t>
      </w:r>
      <w:r>
        <w:rPr>
          <w:spacing w:val="-2"/>
        </w:rPr>
        <w:t xml:space="preserve"> </w:t>
      </w:r>
      <w:r>
        <w:t>and</w:t>
      </w:r>
      <w:r>
        <w:rPr>
          <w:spacing w:val="-2"/>
        </w:rPr>
        <w:t xml:space="preserve"> </w:t>
      </w:r>
      <w:r>
        <w:t>“</w:t>
      </w:r>
      <w:proofErr w:type="spellStart"/>
      <w:r>
        <w:t>Promas</w:t>
      </w:r>
      <w:proofErr w:type="spellEnd"/>
      <w:r>
        <w:rPr>
          <w:spacing w:val="-5"/>
        </w:rPr>
        <w:t xml:space="preserve"> </w:t>
      </w:r>
      <w:r>
        <w:t>Margin”</w:t>
      </w:r>
      <w:r>
        <w:rPr>
          <w:spacing w:val="-2"/>
        </w:rPr>
        <w:t xml:space="preserve"> </w:t>
      </w:r>
      <w:r>
        <w:t>in</w:t>
      </w:r>
      <w:r>
        <w:rPr>
          <w:spacing w:val="-4"/>
        </w:rPr>
        <w:t xml:space="preserve"> </w:t>
      </w:r>
      <w:r>
        <w:t>the Excel</w:t>
      </w:r>
      <w:r>
        <w:rPr>
          <w:spacing w:val="-4"/>
        </w:rPr>
        <w:t xml:space="preserve"> </w:t>
      </w:r>
      <w:r>
        <w:t>table,</w:t>
      </w:r>
      <w:r>
        <w:rPr>
          <w:spacing w:val="-4"/>
        </w:rPr>
        <w:t xml:space="preserve"> </w:t>
      </w:r>
      <w:r>
        <w:t>it</w:t>
      </w:r>
      <w:r>
        <w:rPr>
          <w:spacing w:val="-6"/>
        </w:rPr>
        <w:t xml:space="preserve"> </w:t>
      </w:r>
      <w:r>
        <w:t>was</w:t>
      </w:r>
      <w:r>
        <w:rPr>
          <w:spacing w:val="-7"/>
        </w:rPr>
        <w:t xml:space="preserve"> </w:t>
      </w:r>
      <w:r>
        <w:t>assessed</w:t>
      </w:r>
      <w:r>
        <w:rPr>
          <w:spacing w:val="-6"/>
        </w:rPr>
        <w:t xml:space="preserve"> </w:t>
      </w:r>
      <w:r>
        <w:t>that</w:t>
      </w:r>
      <w:r>
        <w:rPr>
          <w:spacing w:val="-6"/>
        </w:rPr>
        <w:t xml:space="preserve"> </w:t>
      </w:r>
      <w:r>
        <w:t>Nestle</w:t>
      </w:r>
      <w:r>
        <w:rPr>
          <w:spacing w:val="-7"/>
        </w:rPr>
        <w:t xml:space="preserve"> </w:t>
      </w:r>
      <w:r>
        <w:t>determined</w:t>
      </w:r>
      <w:r>
        <w:rPr>
          <w:spacing w:val="-6"/>
        </w:rPr>
        <w:t xml:space="preserve"> </w:t>
      </w:r>
      <w:r>
        <w:t>the</w:t>
      </w:r>
      <w:r>
        <w:rPr>
          <w:spacing w:val="-7"/>
        </w:rPr>
        <w:t xml:space="preserve"> </w:t>
      </w:r>
      <w:r>
        <w:t>discount</w:t>
      </w:r>
      <w:r>
        <w:rPr>
          <w:spacing w:val="-4"/>
        </w:rPr>
        <w:t xml:space="preserve"> </w:t>
      </w:r>
      <w:r>
        <w:t>rates</w:t>
      </w:r>
      <w:r>
        <w:rPr>
          <w:spacing w:val="-7"/>
        </w:rPr>
        <w:t xml:space="preserve"> </w:t>
      </w:r>
      <w:r>
        <w:t>to</w:t>
      </w:r>
      <w:r>
        <w:rPr>
          <w:spacing w:val="-7"/>
        </w:rPr>
        <w:t xml:space="preserve"> </w:t>
      </w:r>
      <w:r>
        <w:t>be</w:t>
      </w:r>
      <w:r>
        <w:rPr>
          <w:spacing w:val="-4"/>
        </w:rPr>
        <w:t xml:space="preserve"> </w:t>
      </w:r>
      <w:r>
        <w:t>applied</w:t>
      </w:r>
      <w:r>
        <w:rPr>
          <w:spacing w:val="-6"/>
        </w:rPr>
        <w:t xml:space="preserve"> </w:t>
      </w:r>
      <w:r>
        <w:t xml:space="preserve">to </w:t>
      </w:r>
      <w:proofErr w:type="spellStart"/>
      <w:r>
        <w:t>Promas</w:t>
      </w:r>
      <w:proofErr w:type="spellEnd"/>
      <w:r>
        <w:rPr>
          <w:spacing w:val="-3"/>
        </w:rPr>
        <w:t xml:space="preserve"> </w:t>
      </w:r>
      <w:r>
        <w:t>and</w:t>
      </w:r>
      <w:r>
        <w:rPr>
          <w:spacing w:val="-3"/>
        </w:rPr>
        <w:t xml:space="preserve"> </w:t>
      </w:r>
      <w:proofErr w:type="spellStart"/>
      <w:r>
        <w:t>Duyça’s</w:t>
      </w:r>
      <w:proofErr w:type="spellEnd"/>
      <w:r>
        <w:rPr>
          <w:spacing w:val="-3"/>
        </w:rPr>
        <w:t xml:space="preserve"> </w:t>
      </w:r>
      <w:r>
        <w:t>resellers.</w:t>
      </w:r>
      <w:r>
        <w:rPr>
          <w:spacing w:val="-3"/>
        </w:rPr>
        <w:t xml:space="preserve"> </w:t>
      </w:r>
      <w:r>
        <w:t>It</w:t>
      </w:r>
      <w:r>
        <w:rPr>
          <w:spacing w:val="-2"/>
        </w:rPr>
        <w:t xml:space="preserve"> </w:t>
      </w:r>
      <w:r>
        <w:t>was</w:t>
      </w:r>
      <w:r>
        <w:rPr>
          <w:spacing w:val="-4"/>
        </w:rPr>
        <w:t xml:space="preserve"> </w:t>
      </w:r>
      <w:r>
        <w:t>found</w:t>
      </w:r>
      <w:r>
        <w:rPr>
          <w:spacing w:val="-2"/>
        </w:rPr>
        <w:t xml:space="preserve"> </w:t>
      </w:r>
      <w:r>
        <w:t>that</w:t>
      </w:r>
      <w:r>
        <w:rPr>
          <w:spacing w:val="-3"/>
        </w:rPr>
        <w:t xml:space="preserve"> </w:t>
      </w:r>
      <w:proofErr w:type="spellStart"/>
      <w:r>
        <w:t>Duyça</w:t>
      </w:r>
      <w:proofErr w:type="spellEnd"/>
      <w:r>
        <w:rPr>
          <w:spacing w:val="-3"/>
        </w:rPr>
        <w:t xml:space="preserve"> </w:t>
      </w:r>
      <w:r>
        <w:t>complied</w:t>
      </w:r>
      <w:r>
        <w:rPr>
          <w:spacing w:val="-2"/>
        </w:rPr>
        <w:t xml:space="preserve"> </w:t>
      </w:r>
      <w:r>
        <w:t>with</w:t>
      </w:r>
      <w:r>
        <w:rPr>
          <w:spacing w:val="-3"/>
        </w:rPr>
        <w:t xml:space="preserve"> </w:t>
      </w:r>
      <w:r>
        <w:t>the prices</w:t>
      </w:r>
      <w:r>
        <w:rPr>
          <w:spacing w:val="-3"/>
        </w:rPr>
        <w:t xml:space="preserve"> </w:t>
      </w:r>
      <w:r>
        <w:t>in</w:t>
      </w:r>
      <w:r>
        <w:rPr>
          <w:spacing w:val="-3"/>
        </w:rPr>
        <w:t xml:space="preserve"> </w:t>
      </w:r>
      <w:r>
        <w:t xml:space="preserve">the table; on the other hand, </w:t>
      </w:r>
      <w:proofErr w:type="spellStart"/>
      <w:r>
        <w:t>Promas</w:t>
      </w:r>
      <w:proofErr w:type="spellEnd"/>
      <w:r>
        <w:t xml:space="preserve"> did not.</w:t>
      </w:r>
    </w:p>
    <w:p w14:paraId="3B0D8830" w14:textId="77777777" w:rsidR="0084555C" w:rsidRDefault="0030519B">
      <w:pPr>
        <w:pStyle w:val="GvdeMetni"/>
        <w:spacing w:before="239" w:line="276" w:lineRule="auto"/>
        <w:ind w:left="856" w:right="134" w:hanging="360"/>
      </w:pPr>
      <w:r>
        <w:t>―</w:t>
      </w:r>
      <w:r>
        <w:rPr>
          <w:spacing w:val="80"/>
        </w:rPr>
        <w:t xml:space="preserve"> </w:t>
      </w:r>
      <w:r>
        <w:t>In</w:t>
      </w:r>
      <w:r>
        <w:rPr>
          <w:spacing w:val="-9"/>
        </w:rPr>
        <w:t xml:space="preserve"> </w:t>
      </w:r>
      <w:r>
        <w:t>Finding-3</w:t>
      </w:r>
      <w:r>
        <w:rPr>
          <w:spacing w:val="-9"/>
        </w:rPr>
        <w:t xml:space="preserve"> </w:t>
      </w:r>
      <w:r>
        <w:t>(Nestle</w:t>
      </w:r>
      <w:r>
        <w:rPr>
          <w:spacing w:val="-8"/>
        </w:rPr>
        <w:t xml:space="preserve"> </w:t>
      </w:r>
      <w:r>
        <w:t>internal</w:t>
      </w:r>
      <w:r>
        <w:rPr>
          <w:spacing w:val="-9"/>
        </w:rPr>
        <w:t xml:space="preserve"> </w:t>
      </w:r>
      <w:r>
        <w:t>correspondence),</w:t>
      </w:r>
      <w:r>
        <w:rPr>
          <w:spacing w:val="-10"/>
        </w:rPr>
        <w:t xml:space="preserve"> </w:t>
      </w:r>
      <w:r>
        <w:t>the</w:t>
      </w:r>
      <w:r>
        <w:rPr>
          <w:spacing w:val="-11"/>
        </w:rPr>
        <w:t xml:space="preserve"> </w:t>
      </w:r>
      <w:r>
        <w:t>phrase</w:t>
      </w:r>
      <w:r>
        <w:rPr>
          <w:spacing w:val="-10"/>
        </w:rPr>
        <w:t xml:space="preserve"> </w:t>
      </w:r>
      <w:r>
        <w:t>“</w:t>
      </w:r>
      <w:r>
        <w:rPr>
          <w:i/>
        </w:rPr>
        <w:t>They</w:t>
      </w:r>
      <w:r>
        <w:rPr>
          <w:i/>
          <w:spacing w:val="-9"/>
        </w:rPr>
        <w:t xml:space="preserve"> </w:t>
      </w:r>
      <w:r>
        <w:rPr>
          <w:i/>
        </w:rPr>
        <w:t>must</w:t>
      </w:r>
      <w:r>
        <w:rPr>
          <w:i/>
          <w:spacing w:val="-10"/>
        </w:rPr>
        <w:t xml:space="preserve"> </w:t>
      </w:r>
      <w:r>
        <w:rPr>
          <w:i/>
        </w:rPr>
        <w:t>not</w:t>
      </w:r>
      <w:r>
        <w:rPr>
          <w:i/>
          <w:spacing w:val="-9"/>
        </w:rPr>
        <w:t xml:space="preserve"> </w:t>
      </w:r>
      <w:r>
        <w:rPr>
          <w:i/>
        </w:rPr>
        <w:t>go</w:t>
      </w:r>
      <w:r>
        <w:rPr>
          <w:i/>
          <w:spacing w:val="-10"/>
        </w:rPr>
        <w:t xml:space="preserve"> </w:t>
      </w:r>
      <w:r>
        <w:rPr>
          <w:i/>
        </w:rPr>
        <w:t>below</w:t>
      </w:r>
      <w:r>
        <w:rPr>
          <w:i/>
          <w:spacing w:val="-9"/>
        </w:rPr>
        <w:t xml:space="preserve"> </w:t>
      </w:r>
      <w:r>
        <w:rPr>
          <w:i/>
        </w:rPr>
        <w:t xml:space="preserve">the list price” </w:t>
      </w:r>
      <w:r>
        <w:t>indicated that Nestle tried to make the resellers implement the “minimum sales</w:t>
      </w:r>
      <w:r>
        <w:rPr>
          <w:spacing w:val="-14"/>
        </w:rPr>
        <w:t xml:space="preserve"> </w:t>
      </w:r>
      <w:r>
        <w:t>prices”.</w:t>
      </w:r>
      <w:r>
        <w:rPr>
          <w:spacing w:val="-14"/>
        </w:rPr>
        <w:t xml:space="preserve"> </w:t>
      </w:r>
      <w:r>
        <w:t>When</w:t>
      </w:r>
      <w:r>
        <w:rPr>
          <w:spacing w:val="-13"/>
        </w:rPr>
        <w:t xml:space="preserve"> </w:t>
      </w:r>
      <w:r>
        <w:t>the</w:t>
      </w:r>
      <w:r>
        <w:rPr>
          <w:spacing w:val="-14"/>
        </w:rPr>
        <w:t xml:space="preserve"> </w:t>
      </w:r>
      <w:r>
        <w:t>TCA</w:t>
      </w:r>
      <w:r>
        <w:rPr>
          <w:spacing w:val="-13"/>
        </w:rPr>
        <w:t xml:space="preserve"> </w:t>
      </w:r>
      <w:r>
        <w:t>evaluated</w:t>
      </w:r>
      <w:r>
        <w:rPr>
          <w:spacing w:val="-10"/>
        </w:rPr>
        <w:t xml:space="preserve"> </w:t>
      </w:r>
      <w:r>
        <w:t>the</w:t>
      </w:r>
      <w:r>
        <w:rPr>
          <w:spacing w:val="-14"/>
        </w:rPr>
        <w:t xml:space="preserve"> </w:t>
      </w:r>
      <w:r>
        <w:t>sales</w:t>
      </w:r>
      <w:r>
        <w:rPr>
          <w:spacing w:val="-13"/>
        </w:rPr>
        <w:t xml:space="preserve"> </w:t>
      </w:r>
      <w:r>
        <w:t>of</w:t>
      </w:r>
      <w:r>
        <w:rPr>
          <w:spacing w:val="-14"/>
        </w:rPr>
        <w:t xml:space="preserve"> </w:t>
      </w:r>
      <w:r>
        <w:t>coffee</w:t>
      </w:r>
      <w:r>
        <w:rPr>
          <w:spacing w:val="-13"/>
        </w:rPr>
        <w:t xml:space="preserve"> </w:t>
      </w:r>
      <w:r>
        <w:t>machines</w:t>
      </w:r>
      <w:r>
        <w:rPr>
          <w:spacing w:val="-13"/>
        </w:rPr>
        <w:t xml:space="preserve"> </w:t>
      </w:r>
      <w:r>
        <w:t>during</w:t>
      </w:r>
      <w:r>
        <w:rPr>
          <w:spacing w:val="-14"/>
        </w:rPr>
        <w:t xml:space="preserve"> </w:t>
      </w:r>
      <w:r>
        <w:t>the</w:t>
      </w:r>
      <w:r>
        <w:rPr>
          <w:spacing w:val="-13"/>
        </w:rPr>
        <w:t xml:space="preserve"> </w:t>
      </w:r>
      <w:r>
        <w:t>relevant period, it was seen</w:t>
      </w:r>
      <w:r>
        <w:rPr>
          <w:spacing w:val="-2"/>
        </w:rPr>
        <w:t xml:space="preserve"> </w:t>
      </w:r>
      <w:r>
        <w:t xml:space="preserve">that </w:t>
      </w:r>
      <w:proofErr w:type="spellStart"/>
      <w:r>
        <w:t>Doğaner</w:t>
      </w:r>
      <w:proofErr w:type="spellEnd"/>
      <w:r>
        <w:t xml:space="preserve"> -Nestle distributor- did not sell at a price lower than Nestle’s list price in 8 out of the 21 sales.</w:t>
      </w:r>
    </w:p>
    <w:p w14:paraId="112E7EAB" w14:textId="77777777" w:rsidR="0084555C" w:rsidRDefault="0030519B">
      <w:pPr>
        <w:spacing w:before="240" w:line="276" w:lineRule="auto"/>
        <w:ind w:left="856" w:right="133" w:hanging="360"/>
        <w:jc w:val="both"/>
        <w:rPr>
          <w:sz w:val="24"/>
        </w:rPr>
      </w:pPr>
      <w:r>
        <w:rPr>
          <w:sz w:val="24"/>
        </w:rPr>
        <w:t>―</w:t>
      </w:r>
      <w:r>
        <w:rPr>
          <w:spacing w:val="80"/>
          <w:sz w:val="24"/>
        </w:rPr>
        <w:t xml:space="preserve"> </w:t>
      </w:r>
      <w:r>
        <w:rPr>
          <w:sz w:val="24"/>
        </w:rPr>
        <w:t>In</w:t>
      </w:r>
      <w:r>
        <w:rPr>
          <w:spacing w:val="-4"/>
          <w:sz w:val="24"/>
        </w:rPr>
        <w:t xml:space="preserve"> </w:t>
      </w:r>
      <w:r>
        <w:rPr>
          <w:sz w:val="24"/>
        </w:rPr>
        <w:t>Finding-4,</w:t>
      </w:r>
      <w:r>
        <w:rPr>
          <w:spacing w:val="-6"/>
          <w:sz w:val="24"/>
        </w:rPr>
        <w:t xml:space="preserve"> </w:t>
      </w:r>
      <w:r>
        <w:rPr>
          <w:sz w:val="24"/>
        </w:rPr>
        <w:t>it</w:t>
      </w:r>
      <w:r>
        <w:rPr>
          <w:spacing w:val="-5"/>
          <w:sz w:val="24"/>
        </w:rPr>
        <w:t xml:space="preserve"> </w:t>
      </w:r>
      <w:r>
        <w:rPr>
          <w:sz w:val="24"/>
        </w:rPr>
        <w:t>is</w:t>
      </w:r>
      <w:r>
        <w:rPr>
          <w:spacing w:val="-7"/>
          <w:sz w:val="24"/>
        </w:rPr>
        <w:t xml:space="preserve"> </w:t>
      </w:r>
      <w:r>
        <w:rPr>
          <w:sz w:val="24"/>
        </w:rPr>
        <w:t>understood</w:t>
      </w:r>
      <w:r>
        <w:rPr>
          <w:spacing w:val="-5"/>
          <w:sz w:val="24"/>
        </w:rPr>
        <w:t xml:space="preserve"> </w:t>
      </w:r>
      <w:r>
        <w:rPr>
          <w:sz w:val="24"/>
        </w:rPr>
        <w:t>from</w:t>
      </w:r>
      <w:r>
        <w:rPr>
          <w:spacing w:val="-6"/>
          <w:sz w:val="24"/>
        </w:rPr>
        <w:t xml:space="preserve"> </w:t>
      </w:r>
      <w:r>
        <w:rPr>
          <w:sz w:val="24"/>
        </w:rPr>
        <w:t>the</w:t>
      </w:r>
      <w:r>
        <w:rPr>
          <w:spacing w:val="-6"/>
          <w:sz w:val="24"/>
        </w:rPr>
        <w:t xml:space="preserve"> </w:t>
      </w:r>
      <w:r>
        <w:rPr>
          <w:sz w:val="24"/>
        </w:rPr>
        <w:t>phrase</w:t>
      </w:r>
      <w:r>
        <w:rPr>
          <w:spacing w:val="-6"/>
          <w:sz w:val="24"/>
        </w:rPr>
        <w:t xml:space="preserve"> </w:t>
      </w:r>
      <w:r>
        <w:rPr>
          <w:sz w:val="24"/>
        </w:rPr>
        <w:t>“</w:t>
      </w:r>
      <w:r>
        <w:rPr>
          <w:i/>
          <w:sz w:val="24"/>
        </w:rPr>
        <w:t>Do</w:t>
      </w:r>
      <w:r>
        <w:rPr>
          <w:i/>
          <w:spacing w:val="-7"/>
          <w:sz w:val="24"/>
        </w:rPr>
        <w:t xml:space="preserve"> </w:t>
      </w:r>
      <w:r>
        <w:rPr>
          <w:i/>
          <w:sz w:val="24"/>
        </w:rPr>
        <w:t>not</w:t>
      </w:r>
      <w:r>
        <w:rPr>
          <w:i/>
          <w:spacing w:val="-3"/>
          <w:sz w:val="24"/>
        </w:rPr>
        <w:t xml:space="preserve"> </w:t>
      </w:r>
      <w:r>
        <w:rPr>
          <w:i/>
          <w:sz w:val="24"/>
        </w:rPr>
        <w:t>go</w:t>
      </w:r>
      <w:r>
        <w:rPr>
          <w:i/>
          <w:spacing w:val="-5"/>
          <w:sz w:val="24"/>
        </w:rPr>
        <w:t xml:space="preserve"> </w:t>
      </w:r>
      <w:r>
        <w:rPr>
          <w:i/>
          <w:sz w:val="24"/>
        </w:rPr>
        <w:t>below</w:t>
      </w:r>
      <w:r>
        <w:rPr>
          <w:i/>
          <w:spacing w:val="-6"/>
          <w:sz w:val="24"/>
        </w:rPr>
        <w:t xml:space="preserve"> </w:t>
      </w:r>
      <w:r>
        <w:rPr>
          <w:i/>
          <w:sz w:val="24"/>
        </w:rPr>
        <w:t>the</w:t>
      </w:r>
      <w:r>
        <w:rPr>
          <w:i/>
          <w:spacing w:val="-3"/>
          <w:sz w:val="24"/>
        </w:rPr>
        <w:t xml:space="preserve"> </w:t>
      </w:r>
      <w:r>
        <w:rPr>
          <w:i/>
          <w:sz w:val="24"/>
        </w:rPr>
        <w:t>sales</w:t>
      </w:r>
      <w:r>
        <w:rPr>
          <w:i/>
          <w:spacing w:val="-6"/>
          <w:sz w:val="24"/>
        </w:rPr>
        <w:t xml:space="preserve"> </w:t>
      </w:r>
      <w:r>
        <w:rPr>
          <w:i/>
          <w:sz w:val="24"/>
        </w:rPr>
        <w:t>price</w:t>
      </w:r>
      <w:r>
        <w:rPr>
          <w:i/>
          <w:spacing w:val="-3"/>
          <w:sz w:val="24"/>
        </w:rPr>
        <w:t xml:space="preserve"> </w:t>
      </w:r>
      <w:r>
        <w:rPr>
          <w:i/>
          <w:sz w:val="24"/>
        </w:rPr>
        <w:t>I</w:t>
      </w:r>
      <w:r>
        <w:rPr>
          <w:i/>
          <w:spacing w:val="-4"/>
          <w:sz w:val="24"/>
        </w:rPr>
        <w:t xml:space="preserve"> </w:t>
      </w:r>
      <w:r>
        <w:rPr>
          <w:i/>
          <w:sz w:val="24"/>
        </w:rPr>
        <w:t>said</w:t>
      </w:r>
      <w:r>
        <w:rPr>
          <w:i/>
          <w:spacing w:val="-5"/>
          <w:sz w:val="24"/>
        </w:rPr>
        <w:t xml:space="preserve"> </w:t>
      </w:r>
      <w:r>
        <w:rPr>
          <w:i/>
          <w:sz w:val="24"/>
        </w:rPr>
        <w:t>in these</w:t>
      </w:r>
      <w:r>
        <w:rPr>
          <w:i/>
          <w:spacing w:val="-9"/>
          <w:sz w:val="24"/>
        </w:rPr>
        <w:t xml:space="preserve"> </w:t>
      </w:r>
      <w:r>
        <w:rPr>
          <w:i/>
          <w:sz w:val="24"/>
        </w:rPr>
        <w:t>products</w:t>
      </w:r>
      <w:r>
        <w:rPr>
          <w:i/>
          <w:spacing w:val="-10"/>
          <w:sz w:val="24"/>
        </w:rPr>
        <w:t xml:space="preserve"> </w:t>
      </w:r>
      <w:r>
        <w:rPr>
          <w:i/>
          <w:sz w:val="24"/>
        </w:rPr>
        <w:t>brother,</w:t>
      </w:r>
      <w:r>
        <w:rPr>
          <w:i/>
          <w:spacing w:val="-10"/>
          <w:sz w:val="24"/>
        </w:rPr>
        <w:t xml:space="preserve"> </w:t>
      </w:r>
      <w:r>
        <w:rPr>
          <w:i/>
          <w:sz w:val="24"/>
        </w:rPr>
        <w:t>let’s</w:t>
      </w:r>
      <w:r>
        <w:rPr>
          <w:i/>
          <w:spacing w:val="-12"/>
          <w:sz w:val="24"/>
        </w:rPr>
        <w:t xml:space="preserve"> </w:t>
      </w:r>
      <w:r>
        <w:rPr>
          <w:i/>
          <w:sz w:val="24"/>
        </w:rPr>
        <w:t>not</w:t>
      </w:r>
      <w:r>
        <w:rPr>
          <w:i/>
          <w:spacing w:val="-9"/>
          <w:sz w:val="24"/>
        </w:rPr>
        <w:t xml:space="preserve"> </w:t>
      </w:r>
      <w:r>
        <w:rPr>
          <w:i/>
          <w:sz w:val="24"/>
        </w:rPr>
        <w:t>disrupt</w:t>
      </w:r>
      <w:r>
        <w:rPr>
          <w:i/>
          <w:spacing w:val="-9"/>
          <w:sz w:val="24"/>
        </w:rPr>
        <w:t xml:space="preserve"> </w:t>
      </w:r>
      <w:r>
        <w:rPr>
          <w:i/>
          <w:sz w:val="24"/>
        </w:rPr>
        <w:t>the</w:t>
      </w:r>
      <w:r>
        <w:rPr>
          <w:i/>
          <w:spacing w:val="-12"/>
          <w:sz w:val="24"/>
        </w:rPr>
        <w:t xml:space="preserve"> </w:t>
      </w:r>
      <w:r>
        <w:rPr>
          <w:i/>
          <w:sz w:val="24"/>
        </w:rPr>
        <w:t>market</w:t>
      </w:r>
      <w:r>
        <w:rPr>
          <w:sz w:val="24"/>
        </w:rPr>
        <w:t>”</w:t>
      </w:r>
      <w:r>
        <w:rPr>
          <w:spacing w:val="-12"/>
          <w:sz w:val="24"/>
        </w:rPr>
        <w:t xml:space="preserve"> </w:t>
      </w:r>
      <w:r>
        <w:rPr>
          <w:sz w:val="24"/>
        </w:rPr>
        <w:t>that</w:t>
      </w:r>
      <w:r>
        <w:rPr>
          <w:spacing w:val="-11"/>
          <w:sz w:val="24"/>
        </w:rPr>
        <w:t xml:space="preserve"> </w:t>
      </w:r>
      <w:r>
        <w:rPr>
          <w:sz w:val="24"/>
        </w:rPr>
        <w:t>Nestle</w:t>
      </w:r>
      <w:r>
        <w:rPr>
          <w:spacing w:val="-12"/>
          <w:sz w:val="24"/>
        </w:rPr>
        <w:t xml:space="preserve"> </w:t>
      </w:r>
      <w:r>
        <w:rPr>
          <w:sz w:val="24"/>
        </w:rPr>
        <w:t>imposed</w:t>
      </w:r>
      <w:r>
        <w:rPr>
          <w:spacing w:val="-11"/>
          <w:sz w:val="24"/>
        </w:rPr>
        <w:t xml:space="preserve"> </w:t>
      </w:r>
      <w:r>
        <w:rPr>
          <w:sz w:val="24"/>
        </w:rPr>
        <w:t>the</w:t>
      </w:r>
      <w:r>
        <w:rPr>
          <w:spacing w:val="-9"/>
          <w:sz w:val="24"/>
        </w:rPr>
        <w:t xml:space="preserve"> </w:t>
      </w:r>
      <w:r>
        <w:rPr>
          <w:sz w:val="24"/>
        </w:rPr>
        <w:t>list</w:t>
      </w:r>
      <w:r>
        <w:rPr>
          <w:spacing w:val="-11"/>
          <w:sz w:val="24"/>
        </w:rPr>
        <w:t xml:space="preserve"> </w:t>
      </w:r>
      <w:r>
        <w:rPr>
          <w:sz w:val="24"/>
        </w:rPr>
        <w:t>prices as minimum resale prices of its resellers and the relevant correspondence indicated Nestle’s intention to determine the resale prices of its resellers.</w:t>
      </w:r>
    </w:p>
    <w:p w14:paraId="3FBE28CF" w14:textId="77777777" w:rsidR="0084555C" w:rsidRDefault="0030519B">
      <w:pPr>
        <w:spacing w:before="242" w:line="276" w:lineRule="auto"/>
        <w:ind w:left="856" w:right="139" w:hanging="360"/>
        <w:jc w:val="both"/>
        <w:rPr>
          <w:sz w:val="24"/>
        </w:rPr>
      </w:pPr>
      <w:r>
        <w:rPr>
          <w:sz w:val="24"/>
        </w:rPr>
        <w:t>― In Finding-5, the phrase “</w:t>
      </w:r>
      <w:r>
        <w:rPr>
          <w:i/>
          <w:sz w:val="24"/>
        </w:rPr>
        <w:t>do not apply additional discount above that and other customers</w:t>
      </w:r>
      <w:r>
        <w:rPr>
          <w:sz w:val="24"/>
        </w:rPr>
        <w:t xml:space="preserve">” sent by Nestle to </w:t>
      </w:r>
      <w:proofErr w:type="spellStart"/>
      <w:r>
        <w:rPr>
          <w:sz w:val="24"/>
        </w:rPr>
        <w:t>Duyça</w:t>
      </w:r>
      <w:proofErr w:type="spellEnd"/>
      <w:r>
        <w:rPr>
          <w:sz w:val="24"/>
        </w:rPr>
        <w:t xml:space="preserve">, along with the discount rates to be applied, showed that Nestle determined </w:t>
      </w:r>
      <w:proofErr w:type="spellStart"/>
      <w:r>
        <w:rPr>
          <w:sz w:val="24"/>
        </w:rPr>
        <w:t>Duyça’s</w:t>
      </w:r>
      <w:proofErr w:type="spellEnd"/>
      <w:r>
        <w:rPr>
          <w:sz w:val="24"/>
        </w:rPr>
        <w:t xml:space="preserve"> resale price.</w:t>
      </w:r>
    </w:p>
    <w:p w14:paraId="7D3059FF" w14:textId="77777777" w:rsidR="0084555C" w:rsidRDefault="0030519B">
      <w:pPr>
        <w:pStyle w:val="GvdeMetni"/>
        <w:spacing w:before="239" w:line="276" w:lineRule="auto"/>
        <w:ind w:left="856" w:right="133" w:hanging="360"/>
      </w:pPr>
      <w:r>
        <w:t>―</w:t>
      </w:r>
      <w:r>
        <w:rPr>
          <w:spacing w:val="40"/>
        </w:rPr>
        <w:t xml:space="preserve"> </w:t>
      </w:r>
      <w:r>
        <w:t>In Finding-20,</w:t>
      </w:r>
      <w:r>
        <w:rPr>
          <w:spacing w:val="-1"/>
        </w:rPr>
        <w:t xml:space="preserve"> </w:t>
      </w:r>
      <w:r>
        <w:t>the</w:t>
      </w:r>
      <w:r>
        <w:rPr>
          <w:spacing w:val="-1"/>
        </w:rPr>
        <w:t xml:space="preserve"> </w:t>
      </w:r>
      <w:r>
        <w:t>message</w:t>
      </w:r>
      <w:r>
        <w:rPr>
          <w:spacing w:val="-1"/>
        </w:rPr>
        <w:t xml:space="preserve"> </w:t>
      </w:r>
      <w:r>
        <w:t>sent</w:t>
      </w:r>
      <w:r>
        <w:rPr>
          <w:spacing w:val="-3"/>
        </w:rPr>
        <w:t xml:space="preserve"> </w:t>
      </w:r>
      <w:r>
        <w:t>by</w:t>
      </w:r>
      <w:r>
        <w:rPr>
          <w:spacing w:val="-2"/>
        </w:rPr>
        <w:t xml:space="preserve"> </w:t>
      </w:r>
      <w:r>
        <w:t>Nestle’s</w:t>
      </w:r>
      <w:r>
        <w:rPr>
          <w:spacing w:val="-2"/>
        </w:rPr>
        <w:t xml:space="preserve"> </w:t>
      </w:r>
      <w:r>
        <w:t>distributor</w:t>
      </w:r>
      <w:r>
        <w:rPr>
          <w:spacing w:val="-1"/>
        </w:rPr>
        <w:t xml:space="preserve"> </w:t>
      </w:r>
      <w:r>
        <w:t>to</w:t>
      </w:r>
      <w:r>
        <w:rPr>
          <w:spacing w:val="-1"/>
        </w:rPr>
        <w:t xml:space="preserve"> </w:t>
      </w:r>
      <w:r>
        <w:t>its</w:t>
      </w:r>
      <w:r>
        <w:rPr>
          <w:spacing w:val="-2"/>
        </w:rPr>
        <w:t xml:space="preserve"> </w:t>
      </w:r>
      <w:r>
        <w:t xml:space="preserve">customer </w:t>
      </w:r>
      <w:r>
        <w:rPr>
          <w:i/>
        </w:rPr>
        <w:t>“I</w:t>
      </w:r>
      <w:r>
        <w:rPr>
          <w:i/>
          <w:spacing w:val="-2"/>
        </w:rPr>
        <w:t xml:space="preserve"> </w:t>
      </w:r>
      <w:r>
        <w:rPr>
          <w:i/>
        </w:rPr>
        <w:t>really</w:t>
      </w:r>
      <w:r>
        <w:rPr>
          <w:i/>
          <w:spacing w:val="-1"/>
        </w:rPr>
        <w:t xml:space="preserve"> </w:t>
      </w:r>
      <w:r>
        <w:rPr>
          <w:i/>
        </w:rPr>
        <w:t>can’t,</w:t>
      </w:r>
      <w:r>
        <w:rPr>
          <w:i/>
          <w:spacing w:val="-2"/>
        </w:rPr>
        <w:t xml:space="preserve"> </w:t>
      </w:r>
      <w:r>
        <w:rPr>
          <w:i/>
        </w:rPr>
        <w:t>I used</w:t>
      </w:r>
      <w:r>
        <w:rPr>
          <w:i/>
          <w:spacing w:val="-14"/>
        </w:rPr>
        <w:t xml:space="preserve"> </w:t>
      </w:r>
      <w:r>
        <w:rPr>
          <w:i/>
        </w:rPr>
        <w:t>10%</w:t>
      </w:r>
      <w:r>
        <w:rPr>
          <w:i/>
          <w:spacing w:val="-14"/>
        </w:rPr>
        <w:t xml:space="preserve"> </w:t>
      </w:r>
      <w:r>
        <w:rPr>
          <w:i/>
        </w:rPr>
        <w:t>of</w:t>
      </w:r>
      <w:r>
        <w:rPr>
          <w:i/>
          <w:spacing w:val="-13"/>
        </w:rPr>
        <w:t xml:space="preserve"> </w:t>
      </w:r>
      <w:r>
        <w:rPr>
          <w:i/>
        </w:rPr>
        <w:t>my</w:t>
      </w:r>
      <w:r>
        <w:rPr>
          <w:i/>
          <w:spacing w:val="-14"/>
        </w:rPr>
        <w:t xml:space="preserve"> </w:t>
      </w:r>
      <w:r>
        <w:rPr>
          <w:i/>
        </w:rPr>
        <w:t>12%,</w:t>
      </w:r>
      <w:r>
        <w:rPr>
          <w:i/>
          <w:spacing w:val="-13"/>
        </w:rPr>
        <w:t xml:space="preserve"> </w:t>
      </w:r>
      <w:r>
        <w:rPr>
          <w:i/>
        </w:rPr>
        <w:t>also</w:t>
      </w:r>
      <w:r>
        <w:rPr>
          <w:i/>
          <w:spacing w:val="-14"/>
        </w:rPr>
        <w:t xml:space="preserve"> </w:t>
      </w:r>
      <w:r>
        <w:rPr>
          <w:i/>
        </w:rPr>
        <w:t>Nestle</w:t>
      </w:r>
      <w:r>
        <w:rPr>
          <w:i/>
          <w:spacing w:val="-13"/>
        </w:rPr>
        <w:t xml:space="preserve"> </w:t>
      </w:r>
      <w:r>
        <w:rPr>
          <w:i/>
        </w:rPr>
        <w:t>intervenes</w:t>
      </w:r>
      <w:r>
        <w:rPr>
          <w:i/>
          <w:spacing w:val="-14"/>
        </w:rPr>
        <w:t xml:space="preserve"> </w:t>
      </w:r>
      <w:r>
        <w:rPr>
          <w:i/>
        </w:rPr>
        <w:t>in</w:t>
      </w:r>
      <w:r>
        <w:rPr>
          <w:i/>
          <w:spacing w:val="-14"/>
        </w:rPr>
        <w:t xml:space="preserve"> </w:t>
      </w:r>
      <w:r>
        <w:rPr>
          <w:i/>
        </w:rPr>
        <w:t>the</w:t>
      </w:r>
      <w:r>
        <w:rPr>
          <w:i/>
          <w:spacing w:val="-13"/>
        </w:rPr>
        <w:t xml:space="preserve"> </w:t>
      </w:r>
      <w:r>
        <w:rPr>
          <w:i/>
        </w:rPr>
        <w:t>discounts</w:t>
      </w:r>
      <w:r>
        <w:rPr>
          <w:i/>
          <w:spacing w:val="-14"/>
        </w:rPr>
        <w:t xml:space="preserve"> </w:t>
      </w:r>
      <w:r>
        <w:rPr>
          <w:i/>
        </w:rPr>
        <w:t>more</w:t>
      </w:r>
      <w:r>
        <w:rPr>
          <w:i/>
          <w:spacing w:val="-13"/>
        </w:rPr>
        <w:t xml:space="preserve"> </w:t>
      </w:r>
      <w:r>
        <w:rPr>
          <w:i/>
        </w:rPr>
        <w:t>than</w:t>
      </w:r>
      <w:r>
        <w:rPr>
          <w:i/>
          <w:spacing w:val="-14"/>
        </w:rPr>
        <w:t xml:space="preserve"> </w:t>
      </w:r>
      <w:r>
        <w:rPr>
          <w:i/>
        </w:rPr>
        <w:t>10%.”</w:t>
      </w:r>
      <w:r>
        <w:t>,</w:t>
      </w:r>
      <w:r>
        <w:rPr>
          <w:spacing w:val="-13"/>
        </w:rPr>
        <w:t xml:space="preserve"> </w:t>
      </w:r>
      <w:r>
        <w:t>indicated that Nestle tracked the discount rates applied by the distributors and that the distributors are concerned about Nestle’s intervention in case of non-compliance. Moreover, Panorama system, which enables Nestle to track the resale prices of its resellers and discount rates, facilitates such intervention.</w:t>
      </w:r>
    </w:p>
    <w:p w14:paraId="42F992CF" w14:textId="77777777" w:rsidR="0084555C" w:rsidRDefault="0030519B">
      <w:pPr>
        <w:spacing w:before="240" w:line="276" w:lineRule="auto"/>
        <w:ind w:left="856" w:right="132" w:hanging="360"/>
        <w:jc w:val="both"/>
        <w:rPr>
          <w:sz w:val="24"/>
        </w:rPr>
      </w:pPr>
      <w:r>
        <w:rPr>
          <w:sz w:val="24"/>
        </w:rPr>
        <w:t>―</w:t>
      </w:r>
      <w:r>
        <w:rPr>
          <w:spacing w:val="40"/>
          <w:sz w:val="24"/>
        </w:rPr>
        <w:t xml:space="preserve"> </w:t>
      </w:r>
      <w:r>
        <w:rPr>
          <w:sz w:val="24"/>
        </w:rPr>
        <w:t>In Finding-21, the phrases “</w:t>
      </w:r>
      <w:r>
        <w:rPr>
          <w:i/>
          <w:sz w:val="24"/>
        </w:rPr>
        <w:t xml:space="preserve">[…Hotel operators…] Write the discounts written in the attached table when invoicing.” and “5% in the distributor discount column, the discount to be written in the Nestle discount column is also attached.” </w:t>
      </w:r>
      <w:r>
        <w:rPr>
          <w:sz w:val="24"/>
        </w:rPr>
        <w:t>in the e-mail message</w:t>
      </w:r>
      <w:r>
        <w:rPr>
          <w:spacing w:val="-4"/>
          <w:sz w:val="24"/>
        </w:rPr>
        <w:t xml:space="preserve"> </w:t>
      </w:r>
      <w:r>
        <w:rPr>
          <w:sz w:val="24"/>
        </w:rPr>
        <w:t>sent</w:t>
      </w:r>
      <w:r>
        <w:rPr>
          <w:spacing w:val="-6"/>
          <w:sz w:val="24"/>
        </w:rPr>
        <w:t xml:space="preserve"> </w:t>
      </w:r>
      <w:r>
        <w:rPr>
          <w:sz w:val="24"/>
        </w:rPr>
        <w:t>by</w:t>
      </w:r>
      <w:r>
        <w:rPr>
          <w:spacing w:val="-8"/>
          <w:sz w:val="24"/>
        </w:rPr>
        <w:t xml:space="preserve"> </w:t>
      </w:r>
      <w:r>
        <w:rPr>
          <w:sz w:val="24"/>
        </w:rPr>
        <w:t>Nestle</w:t>
      </w:r>
      <w:r>
        <w:rPr>
          <w:spacing w:val="-7"/>
          <w:sz w:val="24"/>
        </w:rPr>
        <w:t xml:space="preserve"> </w:t>
      </w:r>
      <w:r>
        <w:rPr>
          <w:sz w:val="24"/>
        </w:rPr>
        <w:t>to</w:t>
      </w:r>
      <w:r>
        <w:rPr>
          <w:spacing w:val="-4"/>
          <w:sz w:val="24"/>
        </w:rPr>
        <w:t xml:space="preserve"> </w:t>
      </w:r>
      <w:proofErr w:type="spellStart"/>
      <w:r>
        <w:rPr>
          <w:sz w:val="24"/>
        </w:rPr>
        <w:t>Kaşpa</w:t>
      </w:r>
      <w:proofErr w:type="spellEnd"/>
      <w:r>
        <w:rPr>
          <w:spacing w:val="-5"/>
          <w:sz w:val="24"/>
        </w:rPr>
        <w:t xml:space="preserve"> </w:t>
      </w:r>
      <w:r>
        <w:rPr>
          <w:sz w:val="24"/>
        </w:rPr>
        <w:t>-Nestle</w:t>
      </w:r>
      <w:r>
        <w:rPr>
          <w:spacing w:val="-7"/>
          <w:sz w:val="24"/>
        </w:rPr>
        <w:t xml:space="preserve"> </w:t>
      </w:r>
      <w:r>
        <w:rPr>
          <w:sz w:val="24"/>
        </w:rPr>
        <w:t>distributor-</w:t>
      </w:r>
      <w:r>
        <w:rPr>
          <w:spacing w:val="-6"/>
          <w:sz w:val="24"/>
        </w:rPr>
        <w:t xml:space="preserve"> </w:t>
      </w:r>
      <w:r>
        <w:rPr>
          <w:sz w:val="24"/>
        </w:rPr>
        <w:t>indicated</w:t>
      </w:r>
      <w:r>
        <w:rPr>
          <w:spacing w:val="-8"/>
          <w:sz w:val="24"/>
        </w:rPr>
        <w:t xml:space="preserve"> </w:t>
      </w:r>
      <w:r>
        <w:rPr>
          <w:sz w:val="24"/>
        </w:rPr>
        <w:t>that</w:t>
      </w:r>
      <w:r>
        <w:rPr>
          <w:spacing w:val="-6"/>
          <w:sz w:val="24"/>
        </w:rPr>
        <w:t xml:space="preserve"> </w:t>
      </w:r>
      <w:r>
        <w:rPr>
          <w:sz w:val="24"/>
        </w:rPr>
        <w:t>Nestle</w:t>
      </w:r>
      <w:r>
        <w:rPr>
          <w:spacing w:val="-7"/>
          <w:sz w:val="24"/>
        </w:rPr>
        <w:t xml:space="preserve"> </w:t>
      </w:r>
      <w:r>
        <w:rPr>
          <w:sz w:val="24"/>
        </w:rPr>
        <w:t>determined the discount rates to be applied by its resellers.</w:t>
      </w:r>
    </w:p>
    <w:p w14:paraId="7B81DCBF" w14:textId="77777777" w:rsidR="0084555C" w:rsidRDefault="0084555C">
      <w:pPr>
        <w:spacing w:line="276" w:lineRule="auto"/>
        <w:jc w:val="both"/>
        <w:rPr>
          <w:sz w:val="24"/>
        </w:rPr>
        <w:sectPr w:rsidR="0084555C">
          <w:footerReference w:type="default" r:id="rId9"/>
          <w:pgSz w:w="11910" w:h="16840"/>
          <w:pgMar w:top="1360" w:right="1280" w:bottom="1080" w:left="1280" w:header="0" w:footer="892" w:gutter="0"/>
          <w:pgNumType w:start="2"/>
          <w:cols w:space="708"/>
        </w:sectPr>
      </w:pPr>
    </w:p>
    <w:p w14:paraId="3FFE8B84" w14:textId="77777777" w:rsidR="0084555C" w:rsidRDefault="0030519B">
      <w:pPr>
        <w:pStyle w:val="GvdeMetni"/>
        <w:spacing w:before="37" w:line="276" w:lineRule="auto"/>
        <w:ind w:right="134"/>
      </w:pPr>
      <w:r>
        <w:lastRenderedPageBreak/>
        <w:t>According to the TCA’s assessment, Nestle tried to enforce the minimum sales price of the resellers, and resellers mostly complied with the prices dictated by Neste. Moreover, Nestle determined discount rates to be applied by its resellers and their profit margin.</w:t>
      </w:r>
    </w:p>
    <w:p w14:paraId="233B11CF" w14:textId="77777777" w:rsidR="0084555C" w:rsidRDefault="0030519B">
      <w:pPr>
        <w:spacing w:before="242"/>
        <w:ind w:left="136"/>
        <w:rPr>
          <w:i/>
          <w:sz w:val="24"/>
        </w:rPr>
      </w:pPr>
      <w:r>
        <w:rPr>
          <w:i/>
          <w:color w:val="001F5F"/>
          <w:sz w:val="24"/>
        </w:rPr>
        <w:t>Assessments</w:t>
      </w:r>
      <w:r>
        <w:rPr>
          <w:i/>
          <w:color w:val="001F5F"/>
          <w:spacing w:val="-5"/>
          <w:sz w:val="24"/>
        </w:rPr>
        <w:t xml:space="preserve"> </w:t>
      </w:r>
      <w:r>
        <w:rPr>
          <w:i/>
          <w:color w:val="001F5F"/>
          <w:sz w:val="24"/>
        </w:rPr>
        <w:t>of</w:t>
      </w:r>
      <w:r>
        <w:rPr>
          <w:i/>
          <w:color w:val="001F5F"/>
          <w:spacing w:val="-4"/>
          <w:sz w:val="24"/>
        </w:rPr>
        <w:t xml:space="preserve"> </w:t>
      </w:r>
      <w:r>
        <w:rPr>
          <w:i/>
          <w:color w:val="001F5F"/>
          <w:sz w:val="24"/>
        </w:rPr>
        <w:t>Region/Customer</w:t>
      </w:r>
      <w:r>
        <w:rPr>
          <w:i/>
          <w:color w:val="001F5F"/>
          <w:spacing w:val="-4"/>
          <w:sz w:val="24"/>
        </w:rPr>
        <w:t xml:space="preserve"> </w:t>
      </w:r>
      <w:r>
        <w:rPr>
          <w:i/>
          <w:color w:val="001F5F"/>
          <w:spacing w:val="-2"/>
          <w:sz w:val="24"/>
        </w:rPr>
        <w:t>Restrictions</w:t>
      </w:r>
    </w:p>
    <w:p w14:paraId="2C26F749" w14:textId="77777777" w:rsidR="0084555C" w:rsidRDefault="0030519B">
      <w:pPr>
        <w:pStyle w:val="GvdeMetni"/>
        <w:spacing w:before="283" w:line="276" w:lineRule="auto"/>
        <w:ind w:right="133"/>
      </w:pPr>
      <w:r>
        <w:t>When</w:t>
      </w:r>
      <w:r>
        <w:rPr>
          <w:spacing w:val="-7"/>
        </w:rPr>
        <w:t xml:space="preserve"> </w:t>
      </w:r>
      <w:r>
        <w:t>Nestle’s</w:t>
      </w:r>
      <w:r>
        <w:rPr>
          <w:spacing w:val="-7"/>
        </w:rPr>
        <w:t xml:space="preserve"> </w:t>
      </w:r>
      <w:r>
        <w:t>agreements</w:t>
      </w:r>
      <w:r>
        <w:rPr>
          <w:spacing w:val="-7"/>
        </w:rPr>
        <w:t xml:space="preserve"> </w:t>
      </w:r>
      <w:r>
        <w:t>conducted</w:t>
      </w:r>
      <w:r>
        <w:rPr>
          <w:spacing w:val="-8"/>
        </w:rPr>
        <w:t xml:space="preserve"> </w:t>
      </w:r>
      <w:r>
        <w:t>with</w:t>
      </w:r>
      <w:r>
        <w:rPr>
          <w:spacing w:val="-6"/>
        </w:rPr>
        <w:t xml:space="preserve"> </w:t>
      </w:r>
      <w:r>
        <w:t>its</w:t>
      </w:r>
      <w:r>
        <w:rPr>
          <w:spacing w:val="-7"/>
        </w:rPr>
        <w:t xml:space="preserve"> </w:t>
      </w:r>
      <w:r>
        <w:t>distributors</w:t>
      </w:r>
      <w:r>
        <w:rPr>
          <w:spacing w:val="-9"/>
        </w:rPr>
        <w:t xml:space="preserve"> </w:t>
      </w:r>
      <w:r>
        <w:t>were</w:t>
      </w:r>
      <w:r>
        <w:rPr>
          <w:spacing w:val="-8"/>
        </w:rPr>
        <w:t xml:space="preserve"> </w:t>
      </w:r>
      <w:r>
        <w:t>examined,</w:t>
      </w:r>
      <w:r>
        <w:rPr>
          <w:spacing w:val="-9"/>
        </w:rPr>
        <w:t xml:space="preserve"> </w:t>
      </w:r>
      <w:r>
        <w:t>it</w:t>
      </w:r>
      <w:r>
        <w:rPr>
          <w:spacing w:val="-6"/>
        </w:rPr>
        <w:t xml:space="preserve"> </w:t>
      </w:r>
      <w:r>
        <w:t>was</w:t>
      </w:r>
      <w:r>
        <w:rPr>
          <w:spacing w:val="-9"/>
        </w:rPr>
        <w:t xml:space="preserve"> </w:t>
      </w:r>
      <w:r>
        <w:t>determined that the agreements do not contain legitimate territorial exclusivity clauses, although in practice,</w:t>
      </w:r>
      <w:r>
        <w:rPr>
          <w:spacing w:val="-8"/>
        </w:rPr>
        <w:t xml:space="preserve"> </w:t>
      </w:r>
      <w:r>
        <w:t>they</w:t>
      </w:r>
      <w:r>
        <w:rPr>
          <w:spacing w:val="-9"/>
        </w:rPr>
        <w:t xml:space="preserve"> </w:t>
      </w:r>
      <w:r>
        <w:t>may</w:t>
      </w:r>
      <w:r>
        <w:rPr>
          <w:spacing w:val="-7"/>
        </w:rPr>
        <w:t xml:space="preserve"> </w:t>
      </w:r>
      <w:r>
        <w:t>act</w:t>
      </w:r>
      <w:r>
        <w:rPr>
          <w:spacing w:val="-6"/>
        </w:rPr>
        <w:t xml:space="preserve"> </w:t>
      </w:r>
      <w:r>
        <w:t>as</w:t>
      </w:r>
      <w:r>
        <w:rPr>
          <w:spacing w:val="-9"/>
        </w:rPr>
        <w:t xml:space="preserve"> </w:t>
      </w:r>
      <w:r>
        <w:t>if</w:t>
      </w:r>
      <w:r>
        <w:rPr>
          <w:spacing w:val="-5"/>
        </w:rPr>
        <w:t xml:space="preserve"> </w:t>
      </w:r>
      <w:r>
        <w:t>there</w:t>
      </w:r>
      <w:r>
        <w:rPr>
          <w:spacing w:val="-8"/>
        </w:rPr>
        <w:t xml:space="preserve"> </w:t>
      </w:r>
      <w:r>
        <w:t>is</w:t>
      </w:r>
      <w:r>
        <w:rPr>
          <w:spacing w:val="-7"/>
        </w:rPr>
        <w:t xml:space="preserve"> </w:t>
      </w:r>
      <w:r>
        <w:t>an</w:t>
      </w:r>
      <w:r>
        <w:rPr>
          <w:spacing w:val="-7"/>
        </w:rPr>
        <w:t xml:space="preserve"> </w:t>
      </w:r>
      <w:r>
        <w:t>exclusivity</w:t>
      </w:r>
      <w:r>
        <w:rPr>
          <w:spacing w:val="-7"/>
        </w:rPr>
        <w:t xml:space="preserve"> </w:t>
      </w:r>
      <w:r>
        <w:t>clause,</w:t>
      </w:r>
      <w:r>
        <w:rPr>
          <w:spacing w:val="-6"/>
        </w:rPr>
        <w:t xml:space="preserve"> </w:t>
      </w:r>
      <w:r>
        <w:t>as</w:t>
      </w:r>
      <w:r>
        <w:rPr>
          <w:spacing w:val="-6"/>
        </w:rPr>
        <w:t xml:space="preserve"> </w:t>
      </w:r>
      <w:r>
        <w:t>also</w:t>
      </w:r>
      <w:r>
        <w:rPr>
          <w:spacing w:val="-6"/>
        </w:rPr>
        <w:t xml:space="preserve"> </w:t>
      </w:r>
      <w:r>
        <w:t>accepted</w:t>
      </w:r>
      <w:r>
        <w:rPr>
          <w:spacing w:val="-7"/>
        </w:rPr>
        <w:t xml:space="preserve"> </w:t>
      </w:r>
      <w:r>
        <w:t>by</w:t>
      </w:r>
      <w:r>
        <w:rPr>
          <w:spacing w:val="-7"/>
        </w:rPr>
        <w:t xml:space="preserve"> </w:t>
      </w:r>
      <w:r>
        <w:t>Nestle</w:t>
      </w:r>
      <w:r>
        <w:rPr>
          <w:spacing w:val="-2"/>
        </w:rPr>
        <w:t xml:space="preserve"> </w:t>
      </w:r>
      <w:r>
        <w:t>during</w:t>
      </w:r>
      <w:r>
        <w:rPr>
          <w:spacing w:val="-9"/>
        </w:rPr>
        <w:t xml:space="preserve"> </w:t>
      </w:r>
      <w:r>
        <w:t>the oral hearing session.</w:t>
      </w:r>
    </w:p>
    <w:p w14:paraId="6DE97120" w14:textId="77777777" w:rsidR="0084555C" w:rsidRDefault="0030519B">
      <w:pPr>
        <w:pStyle w:val="GvdeMetni"/>
        <w:spacing w:before="239" w:line="278" w:lineRule="auto"/>
        <w:ind w:right="139"/>
      </w:pPr>
      <w:r>
        <w:t xml:space="preserve">It was found that the distributors’ customers were determined by Nestle and </w:t>
      </w:r>
      <w:proofErr w:type="spellStart"/>
      <w:r>
        <w:t>categorised</w:t>
      </w:r>
      <w:proofErr w:type="spellEnd"/>
      <w:r>
        <w:t xml:space="preserve"> as red, yellow and green. It was understood based on this categorization </w:t>
      </w:r>
      <w:proofErr w:type="gramStart"/>
      <w:r>
        <w:t>that;</w:t>
      </w:r>
      <w:proofErr w:type="gramEnd"/>
    </w:p>
    <w:p w14:paraId="2FA5CF03" w14:textId="77777777" w:rsidR="0084555C" w:rsidRDefault="0030519B">
      <w:pPr>
        <w:pStyle w:val="GvdeMetni"/>
        <w:spacing w:before="235" w:line="278" w:lineRule="auto"/>
        <w:ind w:left="856" w:hanging="360"/>
        <w:jc w:val="left"/>
      </w:pPr>
      <w:r>
        <w:t>―</w:t>
      </w:r>
      <w:r>
        <w:rPr>
          <w:spacing w:val="80"/>
        </w:rPr>
        <w:t xml:space="preserve"> </w:t>
      </w:r>
      <w:r>
        <w:t>in</w:t>
      </w:r>
      <w:r>
        <w:rPr>
          <w:spacing w:val="-10"/>
        </w:rPr>
        <w:t xml:space="preserve"> </w:t>
      </w:r>
      <w:r>
        <w:t>case</w:t>
      </w:r>
      <w:r>
        <w:rPr>
          <w:spacing w:val="-11"/>
        </w:rPr>
        <w:t xml:space="preserve"> </w:t>
      </w:r>
      <w:r>
        <w:t>a</w:t>
      </w:r>
      <w:r>
        <w:rPr>
          <w:spacing w:val="-11"/>
        </w:rPr>
        <w:t xml:space="preserve"> </w:t>
      </w:r>
      <w:r>
        <w:t>distributor</w:t>
      </w:r>
      <w:r>
        <w:rPr>
          <w:spacing w:val="-11"/>
        </w:rPr>
        <w:t xml:space="preserve"> </w:t>
      </w:r>
      <w:r>
        <w:t>sells</w:t>
      </w:r>
      <w:r>
        <w:rPr>
          <w:spacing w:val="-14"/>
        </w:rPr>
        <w:t xml:space="preserve"> </w:t>
      </w:r>
      <w:r>
        <w:t>products</w:t>
      </w:r>
      <w:r>
        <w:rPr>
          <w:spacing w:val="-11"/>
        </w:rPr>
        <w:t xml:space="preserve"> </w:t>
      </w:r>
      <w:r>
        <w:t>to</w:t>
      </w:r>
      <w:r>
        <w:rPr>
          <w:spacing w:val="-11"/>
        </w:rPr>
        <w:t xml:space="preserve"> </w:t>
      </w:r>
      <w:r>
        <w:t>a</w:t>
      </w:r>
      <w:r>
        <w:rPr>
          <w:spacing w:val="-11"/>
        </w:rPr>
        <w:t xml:space="preserve"> </w:t>
      </w:r>
      <w:r>
        <w:t>red</w:t>
      </w:r>
      <w:r>
        <w:rPr>
          <w:spacing w:val="-10"/>
        </w:rPr>
        <w:t xml:space="preserve"> </w:t>
      </w:r>
      <w:r>
        <w:t>customer,</w:t>
      </w:r>
      <w:r>
        <w:rPr>
          <w:spacing w:val="-11"/>
        </w:rPr>
        <w:t xml:space="preserve"> </w:t>
      </w:r>
      <w:r>
        <w:t>Nestle</w:t>
      </w:r>
      <w:r>
        <w:rPr>
          <w:spacing w:val="-13"/>
        </w:rPr>
        <w:t xml:space="preserve"> </w:t>
      </w:r>
      <w:r>
        <w:t>will</w:t>
      </w:r>
      <w:r>
        <w:rPr>
          <w:spacing w:val="-11"/>
        </w:rPr>
        <w:t xml:space="preserve"> </w:t>
      </w:r>
      <w:r>
        <w:t>not</w:t>
      </w:r>
      <w:r>
        <w:rPr>
          <w:spacing w:val="-9"/>
        </w:rPr>
        <w:t xml:space="preserve"> </w:t>
      </w:r>
      <w:r>
        <w:t>cover</w:t>
      </w:r>
      <w:r>
        <w:rPr>
          <w:spacing w:val="-13"/>
        </w:rPr>
        <w:t xml:space="preserve"> </w:t>
      </w:r>
      <w:r>
        <w:t>the</w:t>
      </w:r>
      <w:r>
        <w:rPr>
          <w:spacing w:val="-11"/>
        </w:rPr>
        <w:t xml:space="preserve"> </w:t>
      </w:r>
      <w:r>
        <w:t>discount applied by distributor to the customer,</w:t>
      </w:r>
    </w:p>
    <w:p w14:paraId="07037FA2" w14:textId="77777777" w:rsidR="0084555C" w:rsidRDefault="0030519B">
      <w:pPr>
        <w:pStyle w:val="GvdeMetni"/>
        <w:spacing w:before="235" w:line="276" w:lineRule="auto"/>
        <w:ind w:left="856" w:hanging="360"/>
        <w:jc w:val="left"/>
      </w:pPr>
      <w:r>
        <w:t>―</w:t>
      </w:r>
      <w:r>
        <w:rPr>
          <w:spacing w:val="80"/>
        </w:rPr>
        <w:t xml:space="preserve"> </w:t>
      </w:r>
      <w:r>
        <w:t>in case</w:t>
      </w:r>
      <w:r>
        <w:rPr>
          <w:spacing w:val="-1"/>
        </w:rPr>
        <w:t xml:space="preserve"> </w:t>
      </w:r>
      <w:r>
        <w:t>a</w:t>
      </w:r>
      <w:r>
        <w:rPr>
          <w:spacing w:val="-2"/>
        </w:rPr>
        <w:t xml:space="preserve"> </w:t>
      </w:r>
      <w:r>
        <w:t>distributor</w:t>
      </w:r>
      <w:r>
        <w:rPr>
          <w:spacing w:val="-1"/>
        </w:rPr>
        <w:t xml:space="preserve"> </w:t>
      </w:r>
      <w:r>
        <w:t>sells</w:t>
      </w:r>
      <w:r>
        <w:rPr>
          <w:spacing w:val="-2"/>
        </w:rPr>
        <w:t xml:space="preserve"> </w:t>
      </w:r>
      <w:r>
        <w:t>products</w:t>
      </w:r>
      <w:r>
        <w:rPr>
          <w:spacing w:val="-2"/>
        </w:rPr>
        <w:t xml:space="preserve"> </w:t>
      </w:r>
      <w:r>
        <w:t>to</w:t>
      </w:r>
      <w:r>
        <w:rPr>
          <w:spacing w:val="-1"/>
        </w:rPr>
        <w:t xml:space="preserve"> </w:t>
      </w:r>
      <w:r>
        <w:t>a</w:t>
      </w:r>
      <w:r>
        <w:rPr>
          <w:spacing w:val="-2"/>
        </w:rPr>
        <w:t xml:space="preserve"> </w:t>
      </w:r>
      <w:r>
        <w:t>green</w:t>
      </w:r>
      <w:r>
        <w:rPr>
          <w:spacing w:val="-1"/>
        </w:rPr>
        <w:t xml:space="preserve"> </w:t>
      </w:r>
      <w:r>
        <w:t>customer,</w:t>
      </w:r>
      <w:r>
        <w:rPr>
          <w:spacing w:val="-2"/>
        </w:rPr>
        <w:t xml:space="preserve"> </w:t>
      </w:r>
      <w:r>
        <w:t>Nestle</w:t>
      </w:r>
      <w:r>
        <w:rPr>
          <w:spacing w:val="-1"/>
        </w:rPr>
        <w:t xml:space="preserve"> </w:t>
      </w:r>
      <w:r>
        <w:t>will</w:t>
      </w:r>
      <w:r>
        <w:rPr>
          <w:spacing w:val="-2"/>
        </w:rPr>
        <w:t xml:space="preserve"> </w:t>
      </w:r>
      <w:r>
        <w:t>cover</w:t>
      </w:r>
      <w:r>
        <w:rPr>
          <w:spacing w:val="-4"/>
        </w:rPr>
        <w:t xml:space="preserve"> </w:t>
      </w:r>
      <w:r>
        <w:t>the</w:t>
      </w:r>
      <w:r>
        <w:rPr>
          <w:spacing w:val="-1"/>
        </w:rPr>
        <w:t xml:space="preserve"> </w:t>
      </w:r>
      <w:r>
        <w:t>discount applied by distributor to the customer, and</w:t>
      </w:r>
    </w:p>
    <w:p w14:paraId="2C441FA7" w14:textId="77777777" w:rsidR="0084555C" w:rsidRDefault="0030519B">
      <w:pPr>
        <w:pStyle w:val="GvdeMetni"/>
        <w:spacing w:before="241" w:line="276" w:lineRule="auto"/>
        <w:ind w:left="856" w:hanging="360"/>
        <w:jc w:val="left"/>
      </w:pPr>
      <w:r>
        <w:t>―</w:t>
      </w:r>
      <w:r>
        <w:rPr>
          <w:spacing w:val="80"/>
        </w:rPr>
        <w:t xml:space="preserve"> </w:t>
      </w:r>
      <w:r>
        <w:t>in</w:t>
      </w:r>
      <w:r>
        <w:rPr>
          <w:spacing w:val="-3"/>
        </w:rPr>
        <w:t xml:space="preserve"> </w:t>
      </w:r>
      <w:r>
        <w:t>case</w:t>
      </w:r>
      <w:r>
        <w:rPr>
          <w:spacing w:val="-6"/>
        </w:rPr>
        <w:t xml:space="preserve"> </w:t>
      </w:r>
      <w:r>
        <w:t>a</w:t>
      </w:r>
      <w:r>
        <w:rPr>
          <w:spacing w:val="-6"/>
        </w:rPr>
        <w:t xml:space="preserve"> </w:t>
      </w:r>
      <w:r>
        <w:t>distributor</w:t>
      </w:r>
      <w:r>
        <w:rPr>
          <w:spacing w:val="-4"/>
        </w:rPr>
        <w:t xml:space="preserve"> </w:t>
      </w:r>
      <w:r>
        <w:t>sells</w:t>
      </w:r>
      <w:r>
        <w:rPr>
          <w:spacing w:val="-6"/>
        </w:rPr>
        <w:t xml:space="preserve"> </w:t>
      </w:r>
      <w:r>
        <w:t>products</w:t>
      </w:r>
      <w:r>
        <w:rPr>
          <w:spacing w:val="-7"/>
        </w:rPr>
        <w:t xml:space="preserve"> </w:t>
      </w:r>
      <w:r>
        <w:t>to</w:t>
      </w:r>
      <w:r>
        <w:rPr>
          <w:spacing w:val="-6"/>
        </w:rPr>
        <w:t xml:space="preserve"> </w:t>
      </w:r>
      <w:r>
        <w:t>a</w:t>
      </w:r>
      <w:r>
        <w:rPr>
          <w:spacing w:val="-6"/>
        </w:rPr>
        <w:t xml:space="preserve"> </w:t>
      </w:r>
      <w:r>
        <w:t>yellow</w:t>
      </w:r>
      <w:r>
        <w:rPr>
          <w:spacing w:val="-5"/>
        </w:rPr>
        <w:t xml:space="preserve"> </w:t>
      </w:r>
      <w:r>
        <w:t>customer,</w:t>
      </w:r>
      <w:r>
        <w:rPr>
          <w:spacing w:val="-6"/>
        </w:rPr>
        <w:t xml:space="preserve"> </w:t>
      </w:r>
      <w:r>
        <w:t>whether</w:t>
      </w:r>
      <w:r>
        <w:rPr>
          <w:spacing w:val="-6"/>
        </w:rPr>
        <w:t xml:space="preserve"> </w:t>
      </w:r>
      <w:r>
        <w:t>Nestle</w:t>
      </w:r>
      <w:r>
        <w:rPr>
          <w:spacing w:val="-6"/>
        </w:rPr>
        <w:t xml:space="preserve"> </w:t>
      </w:r>
      <w:r>
        <w:t>will</w:t>
      </w:r>
      <w:r>
        <w:rPr>
          <w:spacing w:val="-4"/>
        </w:rPr>
        <w:t xml:space="preserve"> </w:t>
      </w:r>
      <w:r>
        <w:t>cover</w:t>
      </w:r>
      <w:r>
        <w:rPr>
          <w:spacing w:val="-6"/>
        </w:rPr>
        <w:t xml:space="preserve"> </w:t>
      </w:r>
      <w:r>
        <w:t>the discount or not will be decided by considering the category and volume of the sale.</w:t>
      </w:r>
    </w:p>
    <w:p w14:paraId="4C7F0D2E" w14:textId="77777777" w:rsidR="0084555C" w:rsidRDefault="0030519B">
      <w:pPr>
        <w:pStyle w:val="GvdeMetni"/>
        <w:spacing w:before="240" w:line="276" w:lineRule="auto"/>
        <w:ind w:right="133"/>
      </w:pPr>
      <w:r>
        <w:t xml:space="preserve">It was assessed that the restrictions on sales to the said customer categories </w:t>
      </w:r>
      <w:proofErr w:type="gramStart"/>
      <w:r>
        <w:t>were covered</w:t>
      </w:r>
      <w:proofErr w:type="gramEnd"/>
      <w:r>
        <w:t xml:space="preserve"> both active and passive sales. Predictably, the other findings revealed that Nestle restricted passive sales of its distributors as well as active sales.</w:t>
      </w:r>
    </w:p>
    <w:p w14:paraId="41296A70" w14:textId="77777777" w:rsidR="0084555C" w:rsidRDefault="0030519B">
      <w:pPr>
        <w:spacing w:before="240"/>
        <w:ind w:left="136"/>
        <w:rPr>
          <w:i/>
          <w:sz w:val="24"/>
        </w:rPr>
      </w:pPr>
      <w:r>
        <w:rPr>
          <w:i/>
          <w:color w:val="001F5F"/>
          <w:sz w:val="24"/>
        </w:rPr>
        <w:t>Assessments</w:t>
      </w:r>
      <w:r>
        <w:rPr>
          <w:i/>
          <w:color w:val="001F5F"/>
          <w:spacing w:val="-5"/>
          <w:sz w:val="24"/>
        </w:rPr>
        <w:t xml:space="preserve"> </w:t>
      </w:r>
      <w:r>
        <w:rPr>
          <w:i/>
          <w:color w:val="001F5F"/>
          <w:sz w:val="24"/>
        </w:rPr>
        <w:t>of</w:t>
      </w:r>
      <w:r>
        <w:rPr>
          <w:i/>
          <w:color w:val="001F5F"/>
          <w:spacing w:val="-3"/>
          <w:sz w:val="24"/>
        </w:rPr>
        <w:t xml:space="preserve"> </w:t>
      </w:r>
      <w:r>
        <w:rPr>
          <w:i/>
          <w:color w:val="001F5F"/>
          <w:sz w:val="24"/>
        </w:rPr>
        <w:t>Sales</w:t>
      </w:r>
      <w:r>
        <w:rPr>
          <w:i/>
          <w:color w:val="001F5F"/>
          <w:spacing w:val="-4"/>
          <w:sz w:val="24"/>
        </w:rPr>
        <w:t xml:space="preserve"> </w:t>
      </w:r>
      <w:r>
        <w:rPr>
          <w:i/>
          <w:color w:val="001F5F"/>
          <w:sz w:val="24"/>
        </w:rPr>
        <w:t>Tracking</w:t>
      </w:r>
      <w:r>
        <w:rPr>
          <w:i/>
          <w:color w:val="001F5F"/>
          <w:spacing w:val="-5"/>
          <w:sz w:val="24"/>
        </w:rPr>
        <w:t xml:space="preserve"> </w:t>
      </w:r>
      <w:r>
        <w:rPr>
          <w:i/>
          <w:color w:val="001F5F"/>
          <w:spacing w:val="-2"/>
          <w:sz w:val="24"/>
        </w:rPr>
        <w:t>System</w:t>
      </w:r>
    </w:p>
    <w:p w14:paraId="6CE52486" w14:textId="77777777" w:rsidR="0084555C" w:rsidRDefault="0030519B">
      <w:pPr>
        <w:pStyle w:val="GvdeMetni"/>
        <w:spacing w:before="283" w:line="276" w:lineRule="auto"/>
        <w:ind w:right="132"/>
      </w:pPr>
      <w:r>
        <w:t xml:space="preserve">The TCA </w:t>
      </w:r>
      <w:proofErr w:type="spellStart"/>
      <w:r>
        <w:t>emphasised</w:t>
      </w:r>
      <w:proofErr w:type="spellEnd"/>
      <w:r>
        <w:t xml:space="preserve"> that Panorama system which is used by Nestle facilitated the intervention to the prices and discount rates. During the investigation, one of the complainants claimed that the Panorama system -which is a field sales </w:t>
      </w:r>
      <w:proofErr w:type="spellStart"/>
      <w:r>
        <w:t>programme</w:t>
      </w:r>
      <w:proofErr w:type="spellEnd"/>
      <w:r>
        <w:t xml:space="preserve"> that Nestle’s distributors are obliged to use- does not allow inserting prices and discount rates other</w:t>
      </w:r>
      <w:r>
        <w:rPr>
          <w:spacing w:val="-14"/>
        </w:rPr>
        <w:t xml:space="preserve"> </w:t>
      </w:r>
      <w:r>
        <w:t>than</w:t>
      </w:r>
      <w:r>
        <w:rPr>
          <w:spacing w:val="-14"/>
        </w:rPr>
        <w:t xml:space="preserve"> </w:t>
      </w:r>
      <w:r>
        <w:t>the</w:t>
      </w:r>
      <w:r>
        <w:rPr>
          <w:spacing w:val="-13"/>
        </w:rPr>
        <w:t xml:space="preserve"> </w:t>
      </w:r>
      <w:r>
        <w:t>ones</w:t>
      </w:r>
      <w:r>
        <w:rPr>
          <w:spacing w:val="-13"/>
        </w:rPr>
        <w:t xml:space="preserve"> </w:t>
      </w:r>
      <w:r>
        <w:t>determined</w:t>
      </w:r>
      <w:r>
        <w:rPr>
          <w:spacing w:val="-14"/>
        </w:rPr>
        <w:t xml:space="preserve"> </w:t>
      </w:r>
      <w:r>
        <w:t>by</w:t>
      </w:r>
      <w:r>
        <w:rPr>
          <w:spacing w:val="-13"/>
        </w:rPr>
        <w:t xml:space="preserve"> </w:t>
      </w:r>
      <w:r>
        <w:t>Nestle,</w:t>
      </w:r>
      <w:r>
        <w:rPr>
          <w:spacing w:val="-13"/>
        </w:rPr>
        <w:t xml:space="preserve"> </w:t>
      </w:r>
      <w:r>
        <w:t>and</w:t>
      </w:r>
      <w:r>
        <w:rPr>
          <w:spacing w:val="-13"/>
        </w:rPr>
        <w:t xml:space="preserve"> </w:t>
      </w:r>
      <w:r>
        <w:t>the</w:t>
      </w:r>
      <w:r>
        <w:rPr>
          <w:spacing w:val="-13"/>
        </w:rPr>
        <w:t xml:space="preserve"> </w:t>
      </w:r>
      <w:r>
        <w:t>distributorship</w:t>
      </w:r>
      <w:r>
        <w:rPr>
          <w:spacing w:val="-12"/>
        </w:rPr>
        <w:t xml:space="preserve"> </w:t>
      </w:r>
      <w:r>
        <w:t>agreements</w:t>
      </w:r>
      <w:r>
        <w:rPr>
          <w:spacing w:val="-14"/>
        </w:rPr>
        <w:t xml:space="preserve"> </w:t>
      </w:r>
      <w:r>
        <w:t>are</w:t>
      </w:r>
      <w:r>
        <w:rPr>
          <w:spacing w:val="-14"/>
        </w:rPr>
        <w:t xml:space="preserve"> </w:t>
      </w:r>
      <w:r>
        <w:t>terminated in case of any objections. Although Nestle argued that these allegations were merely a</w:t>
      </w:r>
      <w:r>
        <w:t xml:space="preserve">ccusatory, the TCA rejected Nestle’s </w:t>
      </w:r>
      <w:proofErr w:type="spellStart"/>
      <w:r>
        <w:t>defence</w:t>
      </w:r>
      <w:proofErr w:type="spellEnd"/>
      <w:r>
        <w:t xml:space="preserve"> by considering that its conclusion based on evaluation of the </w:t>
      </w:r>
      <w:proofErr w:type="gramStart"/>
      <w:r>
        <w:t>findings as a whole</w:t>
      </w:r>
      <w:proofErr w:type="gramEnd"/>
      <w:r>
        <w:t>.</w:t>
      </w:r>
    </w:p>
    <w:p w14:paraId="2DB720B7" w14:textId="77777777" w:rsidR="0084555C" w:rsidRDefault="0030519B">
      <w:pPr>
        <w:pStyle w:val="GvdeMetni"/>
        <w:spacing w:before="241" w:line="276" w:lineRule="auto"/>
        <w:ind w:right="135"/>
      </w:pPr>
      <w:r>
        <w:t>Even</w:t>
      </w:r>
      <w:r>
        <w:rPr>
          <w:spacing w:val="-13"/>
        </w:rPr>
        <w:t xml:space="preserve"> </w:t>
      </w:r>
      <w:r>
        <w:t>though</w:t>
      </w:r>
      <w:r>
        <w:rPr>
          <w:spacing w:val="-13"/>
        </w:rPr>
        <w:t xml:space="preserve"> </w:t>
      </w:r>
      <w:r>
        <w:t>some</w:t>
      </w:r>
      <w:r>
        <w:rPr>
          <w:spacing w:val="-13"/>
        </w:rPr>
        <w:t xml:space="preserve"> </w:t>
      </w:r>
      <w:r>
        <w:t>of</w:t>
      </w:r>
      <w:r>
        <w:rPr>
          <w:spacing w:val="-13"/>
        </w:rPr>
        <w:t xml:space="preserve"> </w:t>
      </w:r>
      <w:r>
        <w:t>the</w:t>
      </w:r>
      <w:r>
        <w:rPr>
          <w:spacing w:val="-14"/>
        </w:rPr>
        <w:t xml:space="preserve"> </w:t>
      </w:r>
      <w:r>
        <w:t>distributors</w:t>
      </w:r>
      <w:r>
        <w:rPr>
          <w:spacing w:val="-11"/>
        </w:rPr>
        <w:t xml:space="preserve"> </w:t>
      </w:r>
      <w:r>
        <w:t>stated</w:t>
      </w:r>
      <w:r>
        <w:rPr>
          <w:spacing w:val="-12"/>
        </w:rPr>
        <w:t xml:space="preserve"> </w:t>
      </w:r>
      <w:r>
        <w:t>that</w:t>
      </w:r>
      <w:r>
        <w:rPr>
          <w:spacing w:val="-12"/>
        </w:rPr>
        <w:t xml:space="preserve"> </w:t>
      </w:r>
      <w:r>
        <w:t>Nestle</w:t>
      </w:r>
      <w:r>
        <w:rPr>
          <w:spacing w:val="-13"/>
        </w:rPr>
        <w:t xml:space="preserve"> </w:t>
      </w:r>
      <w:r>
        <w:t>does</w:t>
      </w:r>
      <w:r>
        <w:rPr>
          <w:spacing w:val="-14"/>
        </w:rPr>
        <w:t xml:space="preserve"> </w:t>
      </w:r>
      <w:r>
        <w:t>not</w:t>
      </w:r>
      <w:r>
        <w:rPr>
          <w:spacing w:val="-12"/>
        </w:rPr>
        <w:t xml:space="preserve"> </w:t>
      </w:r>
      <w:r>
        <w:t>intervene</w:t>
      </w:r>
      <w:r>
        <w:rPr>
          <w:spacing w:val="-11"/>
        </w:rPr>
        <w:t xml:space="preserve"> </w:t>
      </w:r>
      <w:r>
        <w:t>in</w:t>
      </w:r>
      <w:r>
        <w:rPr>
          <w:spacing w:val="-10"/>
        </w:rPr>
        <w:t xml:space="preserve"> </w:t>
      </w:r>
      <w:r>
        <w:t>the</w:t>
      </w:r>
      <w:r>
        <w:rPr>
          <w:spacing w:val="-13"/>
        </w:rPr>
        <w:t xml:space="preserve"> </w:t>
      </w:r>
      <w:r>
        <w:t>resale</w:t>
      </w:r>
      <w:r>
        <w:rPr>
          <w:spacing w:val="-13"/>
        </w:rPr>
        <w:t xml:space="preserve"> </w:t>
      </w:r>
      <w:r>
        <w:t>prices or</w:t>
      </w:r>
      <w:r>
        <w:rPr>
          <w:spacing w:val="-14"/>
        </w:rPr>
        <w:t xml:space="preserve"> </w:t>
      </w:r>
      <w:r>
        <w:t>regions/customers,</w:t>
      </w:r>
      <w:r>
        <w:rPr>
          <w:spacing w:val="-14"/>
        </w:rPr>
        <w:t xml:space="preserve"> </w:t>
      </w:r>
      <w:r>
        <w:t>the</w:t>
      </w:r>
      <w:r>
        <w:rPr>
          <w:spacing w:val="-13"/>
        </w:rPr>
        <w:t xml:space="preserve"> </w:t>
      </w:r>
      <w:r>
        <w:t>TCA</w:t>
      </w:r>
      <w:r>
        <w:rPr>
          <w:spacing w:val="-14"/>
        </w:rPr>
        <w:t xml:space="preserve"> </w:t>
      </w:r>
      <w:r>
        <w:t>assessed</w:t>
      </w:r>
      <w:r>
        <w:rPr>
          <w:spacing w:val="-13"/>
        </w:rPr>
        <w:t xml:space="preserve"> </w:t>
      </w:r>
      <w:r>
        <w:t>that</w:t>
      </w:r>
      <w:r>
        <w:rPr>
          <w:spacing w:val="-14"/>
        </w:rPr>
        <w:t xml:space="preserve"> </w:t>
      </w:r>
      <w:r>
        <w:t>the</w:t>
      </w:r>
      <w:r>
        <w:rPr>
          <w:spacing w:val="-13"/>
        </w:rPr>
        <w:t xml:space="preserve"> </w:t>
      </w:r>
      <w:r>
        <w:t>fact</w:t>
      </w:r>
      <w:r>
        <w:rPr>
          <w:spacing w:val="-14"/>
        </w:rPr>
        <w:t xml:space="preserve"> </w:t>
      </w:r>
      <w:r>
        <w:t>that</w:t>
      </w:r>
      <w:r>
        <w:rPr>
          <w:spacing w:val="-14"/>
        </w:rPr>
        <w:t xml:space="preserve"> </w:t>
      </w:r>
      <w:r>
        <w:t>not</w:t>
      </w:r>
      <w:r>
        <w:rPr>
          <w:spacing w:val="-13"/>
        </w:rPr>
        <w:t xml:space="preserve"> </w:t>
      </w:r>
      <w:r>
        <w:t>intervening</w:t>
      </w:r>
      <w:r>
        <w:rPr>
          <w:spacing w:val="-14"/>
        </w:rPr>
        <w:t xml:space="preserve"> </w:t>
      </w:r>
      <w:r>
        <w:t>in</w:t>
      </w:r>
      <w:r>
        <w:rPr>
          <w:spacing w:val="-13"/>
        </w:rPr>
        <w:t xml:space="preserve"> </w:t>
      </w:r>
      <w:r>
        <w:t>the</w:t>
      </w:r>
      <w:r>
        <w:rPr>
          <w:spacing w:val="-14"/>
        </w:rPr>
        <w:t xml:space="preserve"> </w:t>
      </w:r>
      <w:r>
        <w:t>sales</w:t>
      </w:r>
      <w:r>
        <w:rPr>
          <w:spacing w:val="-13"/>
        </w:rPr>
        <w:t xml:space="preserve"> </w:t>
      </w:r>
      <w:r>
        <w:t>practices of</w:t>
      </w:r>
      <w:r>
        <w:rPr>
          <w:spacing w:val="-6"/>
        </w:rPr>
        <w:t xml:space="preserve"> </w:t>
      </w:r>
      <w:r>
        <w:t>some</w:t>
      </w:r>
      <w:r>
        <w:rPr>
          <w:spacing w:val="-9"/>
        </w:rPr>
        <w:t xml:space="preserve"> </w:t>
      </w:r>
      <w:r>
        <w:t>distributors</w:t>
      </w:r>
      <w:r>
        <w:rPr>
          <w:spacing w:val="-10"/>
        </w:rPr>
        <w:t xml:space="preserve"> </w:t>
      </w:r>
      <w:r>
        <w:t>does</w:t>
      </w:r>
      <w:r>
        <w:rPr>
          <w:spacing w:val="-8"/>
        </w:rPr>
        <w:t xml:space="preserve"> </w:t>
      </w:r>
      <w:r>
        <w:t>not</w:t>
      </w:r>
      <w:r>
        <w:rPr>
          <w:spacing w:val="-4"/>
        </w:rPr>
        <w:t xml:space="preserve"> </w:t>
      </w:r>
      <w:r>
        <w:t>justify</w:t>
      </w:r>
      <w:r>
        <w:rPr>
          <w:spacing w:val="-10"/>
        </w:rPr>
        <w:t xml:space="preserve"> </w:t>
      </w:r>
      <w:r>
        <w:t>the</w:t>
      </w:r>
      <w:r>
        <w:rPr>
          <w:spacing w:val="-9"/>
        </w:rPr>
        <w:t xml:space="preserve"> </w:t>
      </w:r>
      <w:r>
        <w:t>infringement</w:t>
      </w:r>
      <w:r>
        <w:rPr>
          <w:spacing w:val="-9"/>
        </w:rPr>
        <w:t xml:space="preserve"> </w:t>
      </w:r>
      <w:r>
        <w:t>finding.</w:t>
      </w:r>
      <w:r>
        <w:rPr>
          <w:spacing w:val="-8"/>
        </w:rPr>
        <w:t xml:space="preserve"> </w:t>
      </w:r>
      <w:r>
        <w:t>Therefore,</w:t>
      </w:r>
      <w:r>
        <w:rPr>
          <w:spacing w:val="-9"/>
        </w:rPr>
        <w:t xml:space="preserve"> </w:t>
      </w:r>
      <w:r>
        <w:t>it</w:t>
      </w:r>
      <w:r>
        <w:rPr>
          <w:spacing w:val="-6"/>
        </w:rPr>
        <w:t xml:space="preserve"> </w:t>
      </w:r>
      <w:r>
        <w:t>is</w:t>
      </w:r>
      <w:r>
        <w:rPr>
          <w:spacing w:val="-10"/>
        </w:rPr>
        <w:t xml:space="preserve"> </w:t>
      </w:r>
      <w:r>
        <w:t>understood</w:t>
      </w:r>
      <w:r>
        <w:rPr>
          <w:spacing w:val="-9"/>
        </w:rPr>
        <w:t xml:space="preserve"> </w:t>
      </w:r>
      <w:r>
        <w:t xml:space="preserve">that the allegations regarding Panorama system were considered in the TCA’s </w:t>
      </w:r>
      <w:proofErr w:type="gramStart"/>
      <w:r>
        <w:t>final conclusion</w:t>
      </w:r>
      <w:proofErr w:type="gramEnd"/>
      <w:r>
        <w:t>.</w:t>
      </w:r>
    </w:p>
    <w:p w14:paraId="656EE605" w14:textId="77777777" w:rsidR="0084555C" w:rsidRDefault="0030519B">
      <w:pPr>
        <w:pStyle w:val="GvdeMetni"/>
        <w:spacing w:before="241"/>
        <w:jc w:val="left"/>
      </w:pPr>
      <w:r>
        <w:t>The</w:t>
      </w:r>
      <w:r>
        <w:rPr>
          <w:spacing w:val="-7"/>
        </w:rPr>
        <w:t xml:space="preserve"> </w:t>
      </w:r>
      <w:r>
        <w:t>use</w:t>
      </w:r>
      <w:r>
        <w:rPr>
          <w:spacing w:val="-5"/>
        </w:rPr>
        <w:t xml:space="preserve"> </w:t>
      </w:r>
      <w:r>
        <w:t>of</w:t>
      </w:r>
      <w:r>
        <w:rPr>
          <w:spacing w:val="-3"/>
        </w:rPr>
        <w:t xml:space="preserve"> </w:t>
      </w:r>
      <w:r>
        <w:t>sales</w:t>
      </w:r>
      <w:r>
        <w:rPr>
          <w:spacing w:val="-5"/>
        </w:rPr>
        <w:t xml:space="preserve"> </w:t>
      </w:r>
      <w:r>
        <w:t>tracking</w:t>
      </w:r>
      <w:r>
        <w:rPr>
          <w:spacing w:val="-7"/>
        </w:rPr>
        <w:t xml:space="preserve"> </w:t>
      </w:r>
      <w:r>
        <w:t>systems</w:t>
      </w:r>
      <w:r>
        <w:rPr>
          <w:spacing w:val="-2"/>
        </w:rPr>
        <w:t xml:space="preserve"> </w:t>
      </w:r>
      <w:r>
        <w:t>should</w:t>
      </w:r>
      <w:r>
        <w:rPr>
          <w:spacing w:val="-3"/>
        </w:rPr>
        <w:t xml:space="preserve"> </w:t>
      </w:r>
      <w:r>
        <w:t>be</w:t>
      </w:r>
      <w:r>
        <w:rPr>
          <w:spacing w:val="-5"/>
        </w:rPr>
        <w:t xml:space="preserve"> </w:t>
      </w:r>
      <w:r>
        <w:t>handled</w:t>
      </w:r>
      <w:r>
        <w:rPr>
          <w:spacing w:val="-3"/>
        </w:rPr>
        <w:t xml:space="preserve"> </w:t>
      </w:r>
      <w:r>
        <w:t>delicately</w:t>
      </w:r>
      <w:r>
        <w:rPr>
          <w:spacing w:val="-3"/>
        </w:rPr>
        <w:t xml:space="preserve"> </w:t>
      </w:r>
      <w:r>
        <w:t>since</w:t>
      </w:r>
      <w:r>
        <w:rPr>
          <w:spacing w:val="-4"/>
        </w:rPr>
        <w:t xml:space="preserve"> </w:t>
      </w:r>
      <w:r>
        <w:t>they</w:t>
      </w:r>
      <w:r>
        <w:rPr>
          <w:spacing w:val="-2"/>
        </w:rPr>
        <w:t xml:space="preserve"> </w:t>
      </w:r>
      <w:r>
        <w:t>can</w:t>
      </w:r>
      <w:r>
        <w:rPr>
          <w:spacing w:val="-4"/>
        </w:rPr>
        <w:t xml:space="preserve"> </w:t>
      </w:r>
      <w:r>
        <w:t>be</w:t>
      </w:r>
      <w:r>
        <w:rPr>
          <w:spacing w:val="-4"/>
        </w:rPr>
        <w:t xml:space="preserve"> </w:t>
      </w:r>
      <w:r>
        <w:t>deemed</w:t>
      </w:r>
      <w:r>
        <w:rPr>
          <w:spacing w:val="-4"/>
        </w:rPr>
        <w:t xml:space="preserve"> </w:t>
      </w:r>
      <w:r>
        <w:t>as</w:t>
      </w:r>
      <w:r>
        <w:rPr>
          <w:spacing w:val="-4"/>
        </w:rPr>
        <w:t xml:space="preserve"> </w:t>
      </w:r>
      <w:r>
        <w:rPr>
          <w:spacing w:val="-10"/>
        </w:rPr>
        <w:t>a</w:t>
      </w:r>
    </w:p>
    <w:p w14:paraId="6A7B29FA" w14:textId="77777777" w:rsidR="0084555C" w:rsidRDefault="0030519B">
      <w:pPr>
        <w:pStyle w:val="GvdeMetni"/>
        <w:spacing w:before="43"/>
        <w:jc w:val="left"/>
      </w:pPr>
      <w:r>
        <w:t>“two-sided</w:t>
      </w:r>
      <w:r>
        <w:rPr>
          <w:spacing w:val="-8"/>
        </w:rPr>
        <w:t xml:space="preserve"> </w:t>
      </w:r>
      <w:r>
        <w:t>sword”</w:t>
      </w:r>
      <w:r>
        <w:rPr>
          <w:spacing w:val="-8"/>
        </w:rPr>
        <w:t xml:space="preserve"> </w:t>
      </w:r>
      <w:r>
        <w:t>in</w:t>
      </w:r>
      <w:r>
        <w:rPr>
          <w:spacing w:val="-8"/>
        </w:rPr>
        <w:t xml:space="preserve"> </w:t>
      </w:r>
      <w:r>
        <w:t>terms</w:t>
      </w:r>
      <w:r>
        <w:rPr>
          <w:spacing w:val="-6"/>
        </w:rPr>
        <w:t xml:space="preserve"> </w:t>
      </w:r>
      <w:r>
        <w:t>of</w:t>
      </w:r>
      <w:r>
        <w:rPr>
          <w:spacing w:val="-5"/>
        </w:rPr>
        <w:t xml:space="preserve"> </w:t>
      </w:r>
      <w:r>
        <w:t>competition</w:t>
      </w:r>
      <w:r>
        <w:rPr>
          <w:spacing w:val="-6"/>
        </w:rPr>
        <w:t xml:space="preserve"> </w:t>
      </w:r>
      <w:r>
        <w:t>law.</w:t>
      </w:r>
      <w:r>
        <w:rPr>
          <w:spacing w:val="-9"/>
        </w:rPr>
        <w:t xml:space="preserve"> </w:t>
      </w:r>
      <w:r>
        <w:t>While</w:t>
      </w:r>
      <w:r>
        <w:rPr>
          <w:spacing w:val="-6"/>
        </w:rPr>
        <w:t xml:space="preserve"> </w:t>
      </w:r>
      <w:r>
        <w:t>the</w:t>
      </w:r>
      <w:r>
        <w:rPr>
          <w:spacing w:val="-3"/>
        </w:rPr>
        <w:t xml:space="preserve"> </w:t>
      </w:r>
      <w:r>
        <w:t>TCA’s</w:t>
      </w:r>
      <w:r>
        <w:rPr>
          <w:spacing w:val="-7"/>
        </w:rPr>
        <w:t xml:space="preserve"> </w:t>
      </w:r>
      <w:r>
        <w:t>rather</w:t>
      </w:r>
      <w:r>
        <w:rPr>
          <w:spacing w:val="-8"/>
        </w:rPr>
        <w:t xml:space="preserve"> </w:t>
      </w:r>
      <w:r>
        <w:t>backdated</w:t>
      </w:r>
      <w:r>
        <w:rPr>
          <w:spacing w:val="-7"/>
        </w:rPr>
        <w:t xml:space="preserve"> </w:t>
      </w:r>
      <w:r>
        <w:rPr>
          <w:spacing w:val="-2"/>
        </w:rPr>
        <w:t>precedents</w:t>
      </w:r>
    </w:p>
    <w:p w14:paraId="120645B2" w14:textId="77777777" w:rsidR="0084555C" w:rsidRDefault="0084555C">
      <w:pPr>
        <w:sectPr w:rsidR="0084555C">
          <w:pgSz w:w="11910" w:h="16840"/>
          <w:pgMar w:top="1360" w:right="1280" w:bottom="1080" w:left="1280" w:header="0" w:footer="892" w:gutter="0"/>
          <w:cols w:space="708"/>
        </w:sectPr>
      </w:pPr>
    </w:p>
    <w:p w14:paraId="15AC8A65" w14:textId="77777777" w:rsidR="0084555C" w:rsidRDefault="0030519B">
      <w:pPr>
        <w:pStyle w:val="GvdeMetni"/>
        <w:spacing w:before="37" w:line="276" w:lineRule="auto"/>
        <w:ind w:right="131"/>
      </w:pPr>
      <w:proofErr w:type="spellStart"/>
      <w:r>
        <w:lastRenderedPageBreak/>
        <w:t>were</w:t>
      </w:r>
      <w:proofErr w:type="spellEnd"/>
      <w:r>
        <w:t xml:space="preserve"> noting that tracking the resellers’ sales is not a violation by itself, it is seen in the TCA’s recent decisions that sales tracking can be deemed as supplementary evidence when evaluated with other findings together.</w:t>
      </w:r>
    </w:p>
    <w:p w14:paraId="1745F82C" w14:textId="77777777" w:rsidR="0084555C" w:rsidRDefault="0030519B">
      <w:pPr>
        <w:spacing w:before="242"/>
        <w:ind w:left="136"/>
        <w:rPr>
          <w:i/>
          <w:sz w:val="24"/>
        </w:rPr>
      </w:pPr>
      <w:r>
        <w:rPr>
          <w:i/>
          <w:color w:val="001F5F"/>
          <w:sz w:val="24"/>
        </w:rPr>
        <w:t>Assessments</w:t>
      </w:r>
      <w:r>
        <w:rPr>
          <w:i/>
          <w:color w:val="001F5F"/>
          <w:spacing w:val="-4"/>
          <w:sz w:val="24"/>
        </w:rPr>
        <w:t xml:space="preserve"> </w:t>
      </w:r>
      <w:r>
        <w:rPr>
          <w:i/>
          <w:color w:val="001F5F"/>
          <w:sz w:val="24"/>
        </w:rPr>
        <w:t>of</w:t>
      </w:r>
      <w:r>
        <w:rPr>
          <w:i/>
          <w:color w:val="001F5F"/>
          <w:spacing w:val="-1"/>
          <w:sz w:val="24"/>
        </w:rPr>
        <w:t xml:space="preserve"> </w:t>
      </w:r>
      <w:r>
        <w:rPr>
          <w:i/>
          <w:color w:val="001F5F"/>
          <w:sz w:val="24"/>
        </w:rPr>
        <w:t>Nestle’s</w:t>
      </w:r>
      <w:r>
        <w:rPr>
          <w:i/>
          <w:color w:val="001F5F"/>
          <w:spacing w:val="-4"/>
          <w:sz w:val="24"/>
        </w:rPr>
        <w:t xml:space="preserve"> </w:t>
      </w:r>
      <w:r>
        <w:rPr>
          <w:i/>
          <w:color w:val="001F5F"/>
          <w:sz w:val="24"/>
        </w:rPr>
        <w:t>Request</w:t>
      </w:r>
      <w:r>
        <w:rPr>
          <w:i/>
          <w:color w:val="001F5F"/>
          <w:spacing w:val="-2"/>
          <w:sz w:val="24"/>
        </w:rPr>
        <w:t xml:space="preserve"> </w:t>
      </w:r>
      <w:r>
        <w:rPr>
          <w:i/>
          <w:color w:val="001F5F"/>
          <w:sz w:val="24"/>
        </w:rPr>
        <w:t>to</w:t>
      </w:r>
      <w:r>
        <w:rPr>
          <w:i/>
          <w:color w:val="001F5F"/>
          <w:spacing w:val="-4"/>
          <w:sz w:val="24"/>
        </w:rPr>
        <w:t xml:space="preserve"> </w:t>
      </w:r>
      <w:r>
        <w:rPr>
          <w:i/>
          <w:color w:val="001F5F"/>
          <w:sz w:val="24"/>
        </w:rPr>
        <w:t>Offer</w:t>
      </w:r>
      <w:r>
        <w:rPr>
          <w:i/>
          <w:color w:val="001F5F"/>
          <w:spacing w:val="-3"/>
          <w:sz w:val="24"/>
        </w:rPr>
        <w:t xml:space="preserve"> </w:t>
      </w:r>
      <w:r>
        <w:rPr>
          <w:i/>
          <w:color w:val="001F5F"/>
          <w:spacing w:val="-2"/>
          <w:sz w:val="24"/>
        </w:rPr>
        <w:t>Commitments</w:t>
      </w:r>
    </w:p>
    <w:p w14:paraId="724E5B4A" w14:textId="77777777" w:rsidR="0084555C" w:rsidRDefault="0030519B">
      <w:pPr>
        <w:pStyle w:val="GvdeMetni"/>
        <w:spacing w:before="283" w:line="276" w:lineRule="auto"/>
        <w:ind w:right="133"/>
      </w:pPr>
      <w:r>
        <w:t>Nestle requested to offer commitments to the TCA regarding the allegations of region and customer restrictions. However, the TCA rejected this request because (</w:t>
      </w:r>
      <w:proofErr w:type="spellStart"/>
      <w:r>
        <w:rPr>
          <w:b/>
        </w:rPr>
        <w:t>i</w:t>
      </w:r>
      <w:proofErr w:type="spellEnd"/>
      <w:r>
        <w:t>) the allegations concern RPM and restricting both active and passive sales of the distributors, (</w:t>
      </w:r>
      <w:r>
        <w:rPr>
          <w:b/>
        </w:rPr>
        <w:t>ii</w:t>
      </w:r>
      <w:r>
        <w:t>) the commitments</w:t>
      </w:r>
      <w:r>
        <w:rPr>
          <w:spacing w:val="-3"/>
        </w:rPr>
        <w:t xml:space="preserve"> </w:t>
      </w:r>
      <w:r>
        <w:t>should</w:t>
      </w:r>
      <w:r>
        <w:rPr>
          <w:spacing w:val="1"/>
        </w:rPr>
        <w:t xml:space="preserve"> </w:t>
      </w:r>
      <w:r>
        <w:t>not</w:t>
      </w:r>
      <w:r>
        <w:rPr>
          <w:spacing w:val="1"/>
        </w:rPr>
        <w:t xml:space="preserve"> </w:t>
      </w:r>
      <w:r>
        <w:t>be</w:t>
      </w:r>
      <w:r>
        <w:rPr>
          <w:spacing w:val="1"/>
        </w:rPr>
        <w:t xml:space="preserve"> </w:t>
      </w:r>
      <w:r>
        <w:t>accepted</w:t>
      </w:r>
      <w:r>
        <w:rPr>
          <w:spacing w:val="1"/>
        </w:rPr>
        <w:t xml:space="preserve"> </w:t>
      </w:r>
      <w:r>
        <w:t>since</w:t>
      </w:r>
      <w:r>
        <w:rPr>
          <w:spacing w:val="5"/>
        </w:rPr>
        <w:t xml:space="preserve"> </w:t>
      </w:r>
      <w:r>
        <w:t>RPM</w:t>
      </w:r>
      <w:r>
        <w:rPr>
          <w:spacing w:val="2"/>
        </w:rPr>
        <w:t xml:space="preserve"> </w:t>
      </w:r>
      <w:r>
        <w:t>is</w:t>
      </w:r>
      <w:r>
        <w:rPr>
          <w:spacing w:val="2"/>
        </w:rPr>
        <w:t xml:space="preserve"> </w:t>
      </w:r>
      <w:r>
        <w:t>a</w:t>
      </w:r>
      <w:r>
        <w:rPr>
          <w:spacing w:val="-2"/>
        </w:rPr>
        <w:t xml:space="preserve"> </w:t>
      </w:r>
      <w:r>
        <w:t>naked</w:t>
      </w:r>
      <w:r>
        <w:rPr>
          <w:spacing w:val="1"/>
        </w:rPr>
        <w:t xml:space="preserve"> </w:t>
      </w:r>
      <w:r>
        <w:t>and hard-core</w:t>
      </w:r>
      <w:r>
        <w:rPr>
          <w:spacing w:val="3"/>
        </w:rPr>
        <w:t xml:space="preserve"> </w:t>
      </w:r>
      <w:r>
        <w:t>infringement,</w:t>
      </w:r>
      <w:r>
        <w:rPr>
          <w:spacing w:val="3"/>
        </w:rPr>
        <w:t xml:space="preserve"> </w:t>
      </w:r>
      <w:r>
        <w:rPr>
          <w:spacing w:val="-5"/>
        </w:rPr>
        <w:t>and</w:t>
      </w:r>
    </w:p>
    <w:p w14:paraId="431125A3" w14:textId="77777777" w:rsidR="0084555C" w:rsidRDefault="0030519B">
      <w:pPr>
        <w:pStyle w:val="GvdeMetni"/>
        <w:spacing w:line="278" w:lineRule="auto"/>
        <w:ind w:right="144"/>
      </w:pPr>
      <w:r>
        <w:t>(</w:t>
      </w:r>
      <w:r>
        <w:rPr>
          <w:b/>
        </w:rPr>
        <w:t>iii</w:t>
      </w:r>
      <w:r>
        <w:t>) expected procedural benefits would not be achieved through adopting the commitment mechanism only for a part of the competition issues subject to case.</w:t>
      </w:r>
    </w:p>
    <w:p w14:paraId="03DDAC85" w14:textId="77777777" w:rsidR="0084555C" w:rsidRDefault="0030519B">
      <w:pPr>
        <w:pStyle w:val="GvdeMetni"/>
        <w:spacing w:before="234" w:line="276" w:lineRule="auto"/>
        <w:ind w:right="132"/>
      </w:pPr>
      <w:r>
        <w:t>The TCA’s rejection of Nestle’s commitments regarding sales restrictions is one of the most significant aspects of this investigation, since TCA’s tendency on its precedents is often to accept the commitments offered by the undertakings in the investigations regarding sales restrictions.</w:t>
      </w:r>
      <w:r>
        <w:rPr>
          <w:spacing w:val="-11"/>
        </w:rPr>
        <w:t xml:space="preserve"> </w:t>
      </w:r>
      <w:r>
        <w:t>It</w:t>
      </w:r>
      <w:r>
        <w:rPr>
          <w:spacing w:val="-9"/>
        </w:rPr>
        <w:t xml:space="preserve"> </w:t>
      </w:r>
      <w:r>
        <w:t>is</w:t>
      </w:r>
      <w:r>
        <w:rPr>
          <w:spacing w:val="-12"/>
        </w:rPr>
        <w:t xml:space="preserve"> </w:t>
      </w:r>
      <w:r>
        <w:t>known</w:t>
      </w:r>
      <w:r>
        <w:rPr>
          <w:spacing w:val="-11"/>
        </w:rPr>
        <w:t xml:space="preserve"> </w:t>
      </w:r>
      <w:r>
        <w:t>that</w:t>
      </w:r>
      <w:r>
        <w:rPr>
          <w:spacing w:val="-11"/>
        </w:rPr>
        <w:t xml:space="preserve"> </w:t>
      </w:r>
      <w:r>
        <w:t>the</w:t>
      </w:r>
      <w:r>
        <w:rPr>
          <w:spacing w:val="-12"/>
        </w:rPr>
        <w:t xml:space="preserve"> </w:t>
      </w:r>
      <w:r>
        <w:t>TCA</w:t>
      </w:r>
      <w:r>
        <w:rPr>
          <w:spacing w:val="-12"/>
        </w:rPr>
        <w:t xml:space="preserve"> </w:t>
      </w:r>
      <w:r>
        <w:t>may</w:t>
      </w:r>
      <w:r>
        <w:rPr>
          <w:spacing w:val="-10"/>
        </w:rPr>
        <w:t xml:space="preserve"> </w:t>
      </w:r>
      <w:r>
        <w:t>separate</w:t>
      </w:r>
      <w:r>
        <w:rPr>
          <w:spacing w:val="-9"/>
        </w:rPr>
        <w:t xml:space="preserve"> </w:t>
      </w:r>
      <w:r>
        <w:t>its</w:t>
      </w:r>
      <w:r>
        <w:rPr>
          <w:spacing w:val="-10"/>
        </w:rPr>
        <w:t xml:space="preserve"> </w:t>
      </w:r>
      <w:r>
        <w:t>conclusions</w:t>
      </w:r>
      <w:r>
        <w:rPr>
          <w:spacing w:val="-12"/>
        </w:rPr>
        <w:t xml:space="preserve"> </w:t>
      </w:r>
      <w:r>
        <w:t>in</w:t>
      </w:r>
      <w:r>
        <w:rPr>
          <w:spacing w:val="-11"/>
        </w:rPr>
        <w:t xml:space="preserve"> </w:t>
      </w:r>
      <w:r>
        <w:t>the</w:t>
      </w:r>
      <w:r>
        <w:rPr>
          <w:spacing w:val="-12"/>
        </w:rPr>
        <w:t xml:space="preserve"> </w:t>
      </w:r>
      <w:r>
        <w:t>vertical</w:t>
      </w:r>
      <w:r>
        <w:rPr>
          <w:spacing w:val="-9"/>
        </w:rPr>
        <w:t xml:space="preserve"> </w:t>
      </w:r>
      <w:r>
        <w:t>investigations into two, for RPM allegations and sales restrictions, and accept commitments for the sales restrictions and settle for RPM</w:t>
      </w:r>
      <w:hyperlink w:anchor="_bookmark3" w:history="1">
        <w:r>
          <w:rPr>
            <w:vertAlign w:val="superscript"/>
          </w:rPr>
          <w:t>4</w:t>
        </w:r>
      </w:hyperlink>
      <w:r>
        <w:t>.This approach can be understood as the TCA is willing to separate the investigations for procedural economy when it is possible to implement commitment and settlement mechanisms simultaneously.</w:t>
      </w:r>
    </w:p>
    <w:p w14:paraId="6A3016AC" w14:textId="77777777" w:rsidR="0084555C" w:rsidRDefault="0030519B">
      <w:pPr>
        <w:pStyle w:val="Balk1"/>
      </w:pPr>
      <w:r>
        <w:rPr>
          <w:color w:val="001F5F"/>
          <w:spacing w:val="-2"/>
        </w:rPr>
        <w:t>Conclusion</w:t>
      </w:r>
    </w:p>
    <w:p w14:paraId="51E2B2B4" w14:textId="77777777" w:rsidR="0084555C" w:rsidRDefault="0030519B">
      <w:pPr>
        <w:pStyle w:val="GvdeMetni"/>
        <w:spacing w:before="288" w:line="276" w:lineRule="auto"/>
        <w:ind w:right="132"/>
      </w:pPr>
      <w:r>
        <w:t>Overall, the TCA’s much-awaited reasoned decision was remarkable as it clarified the reasoning for imposing a single fine of TRY 346,911,505.44 (approx. EUR 10.4 million) on Nestle for both RPM and sales restrictions. Most importantly, the decision revealed that the TCA’s rejection of Nestle’s commitments regarding sales restrictions was based on the procedural benefits.</w:t>
      </w:r>
    </w:p>
    <w:p w14:paraId="00EE84A7" w14:textId="77777777" w:rsidR="0084555C" w:rsidRDefault="0030519B">
      <w:pPr>
        <w:pStyle w:val="GvdeMetni"/>
        <w:spacing w:before="240" w:line="276" w:lineRule="auto"/>
        <w:ind w:right="131"/>
      </w:pPr>
      <w:r>
        <w:t>The</w:t>
      </w:r>
      <w:r>
        <w:rPr>
          <w:spacing w:val="-8"/>
        </w:rPr>
        <w:t xml:space="preserve"> </w:t>
      </w:r>
      <w:r>
        <w:t>decision</w:t>
      </w:r>
      <w:r>
        <w:rPr>
          <w:spacing w:val="-8"/>
        </w:rPr>
        <w:t xml:space="preserve"> </w:t>
      </w:r>
      <w:r>
        <w:t>provides</w:t>
      </w:r>
      <w:r>
        <w:rPr>
          <w:spacing w:val="-4"/>
        </w:rPr>
        <w:t xml:space="preserve"> </w:t>
      </w:r>
      <w:r>
        <w:t>significant</w:t>
      </w:r>
      <w:r>
        <w:rPr>
          <w:spacing w:val="-4"/>
        </w:rPr>
        <w:t xml:space="preserve"> </w:t>
      </w:r>
      <w:r>
        <w:t>insights</w:t>
      </w:r>
      <w:r>
        <w:rPr>
          <w:spacing w:val="-9"/>
        </w:rPr>
        <w:t xml:space="preserve"> </w:t>
      </w:r>
      <w:r>
        <w:t>regarding</w:t>
      </w:r>
      <w:r>
        <w:rPr>
          <w:spacing w:val="-7"/>
        </w:rPr>
        <w:t xml:space="preserve"> </w:t>
      </w:r>
      <w:r>
        <w:t>the</w:t>
      </w:r>
      <w:r>
        <w:rPr>
          <w:spacing w:val="-8"/>
        </w:rPr>
        <w:t xml:space="preserve"> </w:t>
      </w:r>
      <w:r>
        <w:t>usage</w:t>
      </w:r>
      <w:r>
        <w:rPr>
          <w:spacing w:val="-8"/>
        </w:rPr>
        <w:t xml:space="preserve"> </w:t>
      </w:r>
      <w:r>
        <w:t>of</w:t>
      </w:r>
      <w:r>
        <w:rPr>
          <w:spacing w:val="-5"/>
        </w:rPr>
        <w:t xml:space="preserve"> </w:t>
      </w:r>
      <w:r>
        <w:t>sales</w:t>
      </w:r>
      <w:r>
        <w:rPr>
          <w:spacing w:val="-6"/>
        </w:rPr>
        <w:t xml:space="preserve"> </w:t>
      </w:r>
      <w:r>
        <w:t>tracking</w:t>
      </w:r>
      <w:r>
        <w:rPr>
          <w:spacing w:val="-7"/>
        </w:rPr>
        <w:t xml:space="preserve"> </w:t>
      </w:r>
      <w:r>
        <w:t>systems</w:t>
      </w:r>
      <w:r>
        <w:rPr>
          <w:spacing w:val="-8"/>
        </w:rPr>
        <w:t xml:space="preserve"> </w:t>
      </w:r>
      <w:r>
        <w:t>for</w:t>
      </w:r>
      <w:r>
        <w:rPr>
          <w:spacing w:val="-8"/>
        </w:rPr>
        <w:t xml:space="preserve"> </w:t>
      </w:r>
      <w:r>
        <w:t xml:space="preserve">the undertakings, such as Panorama system used by Nestle. The TCA’s precedents establish that the mere usage of sales tracking systems does not constitute a violation in the absence of supplementary evidence regarding the intervention in resale prices and/or regions/customers. However, the usage of such systems will </w:t>
      </w:r>
      <w:proofErr w:type="gramStart"/>
      <w:r>
        <w:t>highly</w:t>
      </w:r>
      <w:proofErr w:type="gramEnd"/>
      <w:r>
        <w:rPr>
          <w:spacing w:val="-1"/>
        </w:rPr>
        <w:t xml:space="preserve"> </w:t>
      </w:r>
      <w:r>
        <w:t xml:space="preserve">likely to be considered as supportive evidence when there </w:t>
      </w:r>
      <w:proofErr w:type="gramStart"/>
      <w:r>
        <w:t>are other correspondences</w:t>
      </w:r>
      <w:proofErr w:type="gramEnd"/>
      <w:r>
        <w:t xml:space="preserve"> revealing the undertaking’s </w:t>
      </w:r>
      <w:r>
        <w:rPr>
          <w:spacing w:val="-2"/>
        </w:rPr>
        <w:t>intervention.</w:t>
      </w:r>
    </w:p>
    <w:p w14:paraId="5963A54D" w14:textId="77777777" w:rsidR="0084555C" w:rsidRDefault="0084555C">
      <w:pPr>
        <w:pStyle w:val="GvdeMetni"/>
        <w:ind w:left="0"/>
        <w:jc w:val="left"/>
        <w:rPr>
          <w:sz w:val="20"/>
        </w:rPr>
      </w:pPr>
    </w:p>
    <w:p w14:paraId="5EC96260" w14:textId="77777777" w:rsidR="0084555C" w:rsidRDefault="0084555C">
      <w:pPr>
        <w:pStyle w:val="GvdeMetni"/>
        <w:ind w:left="0"/>
        <w:jc w:val="left"/>
        <w:rPr>
          <w:sz w:val="20"/>
        </w:rPr>
      </w:pPr>
    </w:p>
    <w:p w14:paraId="6ECFD54A" w14:textId="77777777" w:rsidR="0084555C" w:rsidRDefault="0084555C">
      <w:pPr>
        <w:pStyle w:val="GvdeMetni"/>
        <w:ind w:left="0"/>
        <w:jc w:val="left"/>
        <w:rPr>
          <w:sz w:val="20"/>
        </w:rPr>
      </w:pPr>
    </w:p>
    <w:p w14:paraId="36365E9C" w14:textId="77777777" w:rsidR="0084555C" w:rsidRDefault="0030519B">
      <w:pPr>
        <w:pStyle w:val="GvdeMetni"/>
        <w:spacing w:before="170"/>
        <w:ind w:left="0"/>
        <w:jc w:val="left"/>
        <w:rPr>
          <w:sz w:val="20"/>
        </w:rPr>
      </w:pPr>
      <w:r>
        <w:rPr>
          <w:noProof/>
        </w:rPr>
        <mc:AlternateContent>
          <mc:Choice Requires="wps">
            <w:drawing>
              <wp:anchor distT="0" distB="0" distL="0" distR="0" simplePos="0" relativeHeight="487588864" behindDoc="1" locked="0" layoutInCell="1" allowOverlap="1" wp14:anchorId="0A6B89E7" wp14:editId="5A962A66">
                <wp:simplePos x="0" y="0"/>
                <wp:positionH relativeFrom="page">
                  <wp:posOffset>899464</wp:posOffset>
                </wp:positionH>
                <wp:positionV relativeFrom="paragraph">
                  <wp:posOffset>278675</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3" y="0"/>
                              </a:moveTo>
                              <a:lnTo>
                                <a:pt x="0" y="0"/>
                              </a:lnTo>
                              <a:lnTo>
                                <a:pt x="0" y="10668"/>
                              </a:lnTo>
                              <a:lnTo>
                                <a:pt x="1829053" y="10668"/>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823997pt;margin-top:21.942938pt;width:144.020pt;height:.84003pt;mso-position-horizontal-relative:page;mso-position-vertical-relative:paragraph;z-index:-15727616;mso-wrap-distance-left:0;mso-wrap-distance-right:0" id="docshape4" filled="true" fillcolor="#000000" stroked="false">
                <v:fill type="solid"/>
                <w10:wrap type="topAndBottom"/>
              </v:rect>
            </w:pict>
          </mc:Fallback>
        </mc:AlternateContent>
      </w:r>
    </w:p>
    <w:p w14:paraId="5ED861B5" w14:textId="77777777" w:rsidR="0084555C" w:rsidRDefault="0084555C">
      <w:pPr>
        <w:pStyle w:val="GvdeMetni"/>
        <w:spacing w:before="180"/>
        <w:ind w:left="0"/>
        <w:jc w:val="left"/>
        <w:rPr>
          <w:sz w:val="18"/>
        </w:rPr>
      </w:pPr>
    </w:p>
    <w:p w14:paraId="2E295132" w14:textId="77777777" w:rsidR="0084555C" w:rsidRDefault="0030519B">
      <w:pPr>
        <w:ind w:left="136" w:right="129"/>
        <w:jc w:val="both"/>
        <w:rPr>
          <w:sz w:val="18"/>
        </w:rPr>
      </w:pPr>
      <w:bookmarkStart w:id="3" w:name="_bookmark3"/>
      <w:bookmarkEnd w:id="3"/>
      <w:r>
        <w:rPr>
          <w:position w:val="5"/>
          <w:sz w:val="12"/>
        </w:rPr>
        <w:t>4</w:t>
      </w:r>
      <w:r>
        <w:rPr>
          <w:spacing w:val="38"/>
          <w:position w:val="5"/>
          <w:sz w:val="12"/>
        </w:rPr>
        <w:t xml:space="preserve"> </w:t>
      </w:r>
      <w:r>
        <w:rPr>
          <w:sz w:val="18"/>
        </w:rPr>
        <w:t xml:space="preserve">Please see the TCA’s Singer decisions (09.09.2021, 21-42/614-301; 30.09.2021, 21-46/672-336), Pierre Fabre decisions (23.02.2023, 23-10/175-43; 09.03.2023, 23-13/214-70), Duracell decisions (08.02.2024, 24-07/117-49; 04.04.2024, 24- 16/359-139), and </w:t>
      </w:r>
      <w:proofErr w:type="spellStart"/>
      <w:r>
        <w:rPr>
          <w:sz w:val="18"/>
        </w:rPr>
        <w:t>Oriflame</w:t>
      </w:r>
      <w:proofErr w:type="spellEnd"/>
      <w:r>
        <w:rPr>
          <w:sz w:val="18"/>
        </w:rPr>
        <w:t xml:space="preserve"> decisions (14.03.2024, 24-13/245-102; 14.03.2024, 24-13/246-103).</w:t>
      </w:r>
    </w:p>
    <w:sectPr w:rsidR="0084555C">
      <w:pgSz w:w="11910" w:h="16840"/>
      <w:pgMar w:top="1360" w:right="1280" w:bottom="1080" w:left="1280" w:header="0" w:footer="8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FB1C" w14:textId="77777777" w:rsidR="0030519B" w:rsidRDefault="0030519B">
      <w:r>
        <w:separator/>
      </w:r>
    </w:p>
  </w:endnote>
  <w:endnote w:type="continuationSeparator" w:id="0">
    <w:p w14:paraId="0041E58A" w14:textId="77777777" w:rsidR="0030519B" w:rsidRDefault="0030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30F7" w14:textId="77777777" w:rsidR="0084555C" w:rsidRDefault="0030519B">
    <w:pPr>
      <w:pStyle w:val="GvdeMetni"/>
      <w:spacing w:line="14" w:lineRule="auto"/>
      <w:ind w:left="0"/>
      <w:jc w:val="left"/>
      <w:rPr>
        <w:sz w:val="20"/>
      </w:rPr>
    </w:pPr>
    <w:r>
      <w:rPr>
        <w:noProof/>
      </w:rPr>
      <mc:AlternateContent>
        <mc:Choice Requires="wps">
          <w:drawing>
            <wp:anchor distT="0" distB="0" distL="0" distR="0" simplePos="0" relativeHeight="487529984" behindDoc="1" locked="0" layoutInCell="1" allowOverlap="1" wp14:anchorId="19A1378A" wp14:editId="58DC6620">
              <wp:simplePos x="0" y="0"/>
              <wp:positionH relativeFrom="page">
                <wp:posOffset>6131814</wp:posOffset>
              </wp:positionH>
              <wp:positionV relativeFrom="page">
                <wp:posOffset>9986264</wp:posOffset>
              </wp:positionV>
              <wp:extent cx="57975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77800"/>
                      </a:xfrm>
                      <a:prstGeom prst="rect">
                        <a:avLst/>
                      </a:prstGeom>
                    </wps:spPr>
                    <wps:txbx>
                      <w:txbxContent>
                        <w:p w14:paraId="1A46ADEC" w14:textId="77777777" w:rsidR="0084555C" w:rsidRDefault="0030519B">
                          <w:pPr>
                            <w:pStyle w:val="GvdeMetni"/>
                            <w:spacing w:line="264" w:lineRule="exact"/>
                            <w:ind w:left="20"/>
                            <w:jc w:val="left"/>
                          </w:pPr>
                          <w:r>
                            <w:rPr>
                              <w:color w:val="006FC0"/>
                            </w:rPr>
                            <w:t>Page</w:t>
                          </w:r>
                          <w:r>
                            <w:rPr>
                              <w:color w:val="006FC0"/>
                              <w:spacing w:val="1"/>
                            </w:rPr>
                            <w:t xml:space="preserve"> </w:t>
                          </w:r>
                          <w:r>
                            <w:rPr>
                              <w:color w:val="006FC0"/>
                            </w:rPr>
                            <w:t>|</w:t>
                          </w:r>
                          <w:r>
                            <w:rPr>
                              <w:color w:val="006FC0"/>
                              <w:spacing w:val="-2"/>
                            </w:rPr>
                            <w:t xml:space="preserve"> </w:t>
                          </w:r>
                          <w:r>
                            <w:rPr>
                              <w:color w:val="006FC0"/>
                              <w:spacing w:val="-10"/>
                            </w:rPr>
                            <w:fldChar w:fldCharType="begin"/>
                          </w:r>
                          <w:r>
                            <w:rPr>
                              <w:color w:val="006FC0"/>
                              <w:spacing w:val="-10"/>
                            </w:rPr>
                            <w:instrText xml:space="preserve"> PAGE </w:instrText>
                          </w:r>
                          <w:r>
                            <w:rPr>
                              <w:color w:val="006FC0"/>
                              <w:spacing w:val="-10"/>
                            </w:rPr>
                            <w:fldChar w:fldCharType="separate"/>
                          </w:r>
                          <w:r>
                            <w:rPr>
                              <w:color w:val="006FC0"/>
                              <w:spacing w:val="-10"/>
                            </w:rPr>
                            <w:t>2</w:t>
                          </w:r>
                          <w:r>
                            <w:rPr>
                              <w:color w:val="006FC0"/>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82.820007pt;margin-top:786.320007pt;width:45.65pt;height:14pt;mso-position-horizontal-relative:page;mso-position-vertical-relative:page;z-index:-15786496" type="#_x0000_t202" id="docshape3" filled="false" stroked="false">
              <v:textbox inset="0,0,0,0">
                <w:txbxContent>
                  <w:p>
                    <w:pPr>
                      <w:pStyle w:val="BodyText"/>
                      <w:spacing w:line="264" w:lineRule="exact"/>
                      <w:ind w:left="20"/>
                      <w:jc w:val="left"/>
                    </w:pPr>
                    <w:r>
                      <w:rPr>
                        <w:color w:val="006FC0"/>
                      </w:rPr>
                      <w:t>Page</w:t>
                    </w:r>
                    <w:r>
                      <w:rPr>
                        <w:color w:val="006FC0"/>
                        <w:spacing w:val="1"/>
                      </w:rPr>
                      <w:t> </w:t>
                    </w:r>
                    <w:r>
                      <w:rPr>
                        <w:color w:val="006FC0"/>
                      </w:rPr>
                      <w:t>|</w:t>
                    </w:r>
                    <w:r>
                      <w:rPr>
                        <w:color w:val="006FC0"/>
                        <w:spacing w:val="-2"/>
                      </w:rPr>
                      <w:t> </w:t>
                    </w:r>
                    <w:r>
                      <w:rPr>
                        <w:color w:val="006FC0"/>
                        <w:spacing w:val="-10"/>
                      </w:rPr>
                      <w:fldChar w:fldCharType="begin"/>
                    </w:r>
                    <w:r>
                      <w:rPr>
                        <w:color w:val="006FC0"/>
                        <w:spacing w:val="-10"/>
                      </w:rPr>
                      <w:instrText> PAGE </w:instrText>
                    </w:r>
                    <w:r>
                      <w:rPr>
                        <w:color w:val="006FC0"/>
                        <w:spacing w:val="-10"/>
                      </w:rPr>
                      <w:fldChar w:fldCharType="separate"/>
                    </w:r>
                    <w:r>
                      <w:rPr>
                        <w:color w:val="006FC0"/>
                        <w:spacing w:val="-10"/>
                      </w:rPr>
                      <w:t>2</w:t>
                    </w:r>
                    <w:r>
                      <w:rPr>
                        <w:color w:val="006FC0"/>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23FB" w14:textId="77777777" w:rsidR="0030519B" w:rsidRDefault="0030519B">
      <w:r>
        <w:separator/>
      </w:r>
    </w:p>
  </w:footnote>
  <w:footnote w:type="continuationSeparator" w:id="0">
    <w:p w14:paraId="58BFD9C0" w14:textId="77777777" w:rsidR="0030519B" w:rsidRDefault="00305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4555C"/>
    <w:rsid w:val="0030519B"/>
    <w:rsid w:val="005F482C"/>
    <w:rsid w:val="00845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728B"/>
  <w15:docId w15:val="{EBD38E43-181A-40B1-AE7C-62F54E3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240"/>
      <w:ind w:left="136"/>
      <w:outlineLvl w:val="0"/>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jc w:val="both"/>
    </w:pPr>
    <w:rPr>
      <w:sz w:val="24"/>
      <w:szCs w:val="24"/>
    </w:rPr>
  </w:style>
  <w:style w:type="paragraph" w:styleId="KonuBal">
    <w:name w:val="Title"/>
    <w:basedOn w:val="Normal"/>
    <w:uiPriority w:val="10"/>
    <w:qFormat/>
    <w:pPr>
      <w:spacing w:before="1"/>
      <w:ind w:right="124"/>
      <w:jc w:val="right"/>
    </w:pPr>
    <w:rPr>
      <w:rFonts w:ascii="Cambria" w:eastAsia="Cambria" w:hAnsi="Cambria" w:cs="Cambria"/>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ctecon.com" TargetMode="External"/><Relationship Id="rId3" Type="http://schemas.openxmlformats.org/officeDocument/2006/relationships/webSettings" Target="webSettings.xml"/><Relationship Id="rId7" Type="http://schemas.openxmlformats.org/officeDocument/2006/relationships/hyperlink" Target="https://www.rekabet.gov.tr/en/Guncel/investigation-about-nestle-turkiye-gida--e5b25a8f0f93ed11a2110050568520f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4</Pages>
  <Words>1644</Words>
  <Characters>9371</Characters>
  <Application>Microsoft Office Word</Application>
  <DocSecurity>4</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Karafil - ACTECON</dc:creator>
  <cp:lastModifiedBy>Serenay Kivik - ACTECON</cp:lastModifiedBy>
  <cp:revision>2</cp:revision>
  <dcterms:created xsi:type="dcterms:W3CDTF">2025-01-15T09:00:00Z</dcterms:created>
  <dcterms:modified xsi:type="dcterms:W3CDTF">2025-01-15T09:00:00Z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2021</vt:lpwstr>
  </property>
  <property fmtid="{D5CDD505-2E9C-101B-9397-08002B2CF9AE}" pid="4" name="LastSaved">
    <vt:filetime>2025-01-10T00:00:00Z</vt:filetime>
  </property>
  <property fmtid="{D5CDD505-2E9C-101B-9397-08002B2CF9AE}" pid="5" name="Producer">
    <vt:lpwstr>Microsoft® Word 2021</vt:lpwstr>
  </property>
</Properties>
</file>