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879C9" w14:textId="77777777" w:rsidR="00EE37F9" w:rsidRDefault="00C7092E">
      <w:pPr>
        <w:pStyle w:val="GvdeMetni"/>
        <w:ind w:left="3709"/>
        <w:rPr>
          <w:rFonts w:ascii="Times New Roman"/>
          <w:sz w:val="20"/>
        </w:rPr>
      </w:pPr>
      <w:r>
        <w:rPr>
          <w:rFonts w:ascii="Times New Roman"/>
          <w:noProof/>
          <w:sz w:val="20"/>
        </w:rPr>
        <w:drawing>
          <wp:inline distT="0" distB="0" distL="0" distR="0" wp14:anchorId="642C9B18" wp14:editId="1E46C801">
            <wp:extent cx="1166299" cy="53949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1166299" cy="539496"/>
                    </a:xfrm>
                    <a:prstGeom prst="rect">
                      <a:avLst/>
                    </a:prstGeom>
                  </pic:spPr>
                </pic:pic>
              </a:graphicData>
            </a:graphic>
          </wp:inline>
        </w:drawing>
      </w:r>
    </w:p>
    <w:p w14:paraId="0834E52C" w14:textId="77777777" w:rsidR="00EE37F9" w:rsidRDefault="00EE37F9">
      <w:pPr>
        <w:pStyle w:val="GvdeMetni"/>
        <w:spacing w:before="112"/>
        <w:rPr>
          <w:rFonts w:ascii="Times New Roman"/>
          <w:sz w:val="36"/>
        </w:rPr>
      </w:pPr>
    </w:p>
    <w:p w14:paraId="70487198" w14:textId="77777777" w:rsidR="00EE37F9" w:rsidRDefault="00C7092E">
      <w:pPr>
        <w:pStyle w:val="KonuBal"/>
        <w:spacing w:line="276" w:lineRule="auto"/>
      </w:pPr>
      <w:r>
        <w:rPr>
          <w:noProof/>
        </w:rPr>
        <mc:AlternateContent>
          <mc:Choice Requires="wps">
            <w:drawing>
              <wp:anchor distT="0" distB="0" distL="0" distR="0" simplePos="0" relativeHeight="487587840" behindDoc="1" locked="0" layoutInCell="1" allowOverlap="1" wp14:anchorId="1C739180" wp14:editId="18A1ABC0">
                <wp:simplePos x="0" y="0"/>
                <wp:positionH relativeFrom="page">
                  <wp:posOffset>896416</wp:posOffset>
                </wp:positionH>
                <wp:positionV relativeFrom="paragraph">
                  <wp:posOffset>629180</wp:posOffset>
                </wp:positionV>
                <wp:extent cx="5741035" cy="2794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1035" cy="27940"/>
                        </a:xfrm>
                        <a:custGeom>
                          <a:avLst/>
                          <a:gdLst/>
                          <a:ahLst/>
                          <a:cxnLst/>
                          <a:rect l="l" t="t" r="r" b="b"/>
                          <a:pathLst>
                            <a:path w="5741035" h="27940">
                              <a:moveTo>
                                <a:pt x="5740654" y="0"/>
                              </a:moveTo>
                              <a:lnTo>
                                <a:pt x="0" y="0"/>
                              </a:lnTo>
                              <a:lnTo>
                                <a:pt x="0" y="27431"/>
                              </a:lnTo>
                              <a:lnTo>
                                <a:pt x="5740654" y="27431"/>
                              </a:lnTo>
                              <a:lnTo>
                                <a:pt x="5740654" y="0"/>
                              </a:lnTo>
                              <a:close/>
                            </a:path>
                          </a:pathLst>
                        </a:custGeom>
                        <a:solidFill>
                          <a:srgbClr val="090982"/>
                        </a:solidFill>
                      </wps:spPr>
                      <wps:bodyPr wrap="square" lIns="0" tIns="0" rIns="0" bIns="0" rtlCol="0">
                        <a:prstTxWarp prst="textNoShape">
                          <a:avLst/>
                        </a:prstTxWarp>
                        <a:noAutofit/>
                      </wps:bodyPr>
                    </wps:wsp>
                  </a:graphicData>
                </a:graphic>
              </wp:anchor>
            </w:drawing>
          </mc:Choice>
          <mc:Fallback>
            <w:pict>
              <v:shape w14:anchorId="7D10E2D0" id="Graphic 2" o:spid="_x0000_s1026" style="position:absolute;margin-left:70.6pt;margin-top:49.55pt;width:452.05pt;height:2.2pt;z-index:-15728640;visibility:visible;mso-wrap-style:square;mso-wrap-distance-left:0;mso-wrap-distance-top:0;mso-wrap-distance-right:0;mso-wrap-distance-bottom:0;mso-position-horizontal:absolute;mso-position-horizontal-relative:page;mso-position-vertical:absolute;mso-position-vertical-relative:text;v-text-anchor:top" coordsize="5741035,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" path="m5740654,l,,,27431r5740654,l5740654,xe" fillcolor="#090982" stroked="f">
                <v:path arrowok="t"/>
                <w10:wrap type="topAndBottom" anchorx="page"/>
              </v:shape>
            </w:pict>
          </mc:Fallback>
        </mc:AlternateContent>
      </w:r>
      <w:r>
        <w:rPr>
          <w:color w:val="C30030"/>
          <w:spacing w:val="-10"/>
        </w:rPr>
        <w:t>The</w:t>
      </w:r>
      <w:r>
        <w:rPr>
          <w:color w:val="C30030"/>
          <w:spacing w:val="-14"/>
        </w:rPr>
        <w:t xml:space="preserve"> </w:t>
      </w:r>
      <w:r>
        <w:rPr>
          <w:color w:val="C30030"/>
          <w:spacing w:val="-10"/>
        </w:rPr>
        <w:t>Ministry</w:t>
      </w:r>
      <w:r>
        <w:rPr>
          <w:color w:val="C30030"/>
          <w:spacing w:val="-11"/>
        </w:rPr>
        <w:t xml:space="preserve"> </w:t>
      </w:r>
      <w:r>
        <w:rPr>
          <w:color w:val="C30030"/>
          <w:spacing w:val="-10"/>
        </w:rPr>
        <w:t>to</w:t>
      </w:r>
      <w:r>
        <w:rPr>
          <w:color w:val="C30030"/>
          <w:spacing w:val="-15"/>
        </w:rPr>
        <w:t xml:space="preserve"> </w:t>
      </w:r>
      <w:r>
        <w:rPr>
          <w:color w:val="C30030"/>
          <w:spacing w:val="-10"/>
        </w:rPr>
        <w:t>Go</w:t>
      </w:r>
      <w:r>
        <w:rPr>
          <w:color w:val="C30030"/>
          <w:spacing w:val="-12"/>
        </w:rPr>
        <w:t xml:space="preserve"> </w:t>
      </w:r>
      <w:r>
        <w:rPr>
          <w:color w:val="C30030"/>
          <w:spacing w:val="-10"/>
        </w:rPr>
        <w:t>Unorthodox</w:t>
      </w:r>
      <w:r>
        <w:rPr>
          <w:color w:val="C30030"/>
          <w:spacing w:val="-15"/>
        </w:rPr>
        <w:t xml:space="preserve"> </w:t>
      </w:r>
      <w:r>
        <w:rPr>
          <w:color w:val="C30030"/>
          <w:spacing w:val="-10"/>
        </w:rPr>
        <w:t>for</w:t>
      </w:r>
      <w:r>
        <w:rPr>
          <w:color w:val="C30030"/>
          <w:spacing w:val="-14"/>
        </w:rPr>
        <w:t xml:space="preserve"> </w:t>
      </w:r>
      <w:r>
        <w:rPr>
          <w:color w:val="C30030"/>
          <w:spacing w:val="-10"/>
        </w:rPr>
        <w:t>Calculating</w:t>
      </w:r>
      <w:r>
        <w:rPr>
          <w:color w:val="C30030"/>
          <w:spacing w:val="-16"/>
        </w:rPr>
        <w:t xml:space="preserve"> </w:t>
      </w:r>
      <w:r>
        <w:rPr>
          <w:color w:val="C30030"/>
          <w:spacing w:val="-10"/>
        </w:rPr>
        <w:t>the</w:t>
      </w:r>
      <w:r>
        <w:rPr>
          <w:color w:val="C30030"/>
          <w:spacing w:val="-14"/>
        </w:rPr>
        <w:t xml:space="preserve"> </w:t>
      </w:r>
      <w:r>
        <w:rPr>
          <w:color w:val="C30030"/>
          <w:spacing w:val="-10"/>
        </w:rPr>
        <w:t>Dumping Margins:</w:t>
      </w:r>
      <w:r>
        <w:rPr>
          <w:color w:val="C30030"/>
          <w:spacing w:val="-21"/>
        </w:rPr>
        <w:t xml:space="preserve"> </w:t>
      </w:r>
      <w:proofErr w:type="spellStart"/>
      <w:r>
        <w:rPr>
          <w:color w:val="C30030"/>
          <w:spacing w:val="-10"/>
        </w:rPr>
        <w:t>Vulcanised</w:t>
      </w:r>
      <w:proofErr w:type="spellEnd"/>
      <w:r>
        <w:rPr>
          <w:color w:val="C30030"/>
          <w:spacing w:val="-20"/>
        </w:rPr>
        <w:t xml:space="preserve"> </w:t>
      </w:r>
      <w:r>
        <w:rPr>
          <w:color w:val="C30030"/>
          <w:spacing w:val="-10"/>
        </w:rPr>
        <w:t>Rubber</w:t>
      </w:r>
      <w:r>
        <w:rPr>
          <w:color w:val="C30030"/>
          <w:spacing w:val="-20"/>
        </w:rPr>
        <w:t xml:space="preserve"> </w:t>
      </w:r>
      <w:r>
        <w:rPr>
          <w:color w:val="C30030"/>
          <w:spacing w:val="-10"/>
        </w:rPr>
        <w:t>Thread</w:t>
      </w:r>
      <w:r>
        <w:rPr>
          <w:color w:val="C30030"/>
          <w:spacing w:val="-20"/>
        </w:rPr>
        <w:t xml:space="preserve"> </w:t>
      </w:r>
      <w:r>
        <w:rPr>
          <w:color w:val="C30030"/>
          <w:spacing w:val="-10"/>
        </w:rPr>
        <w:t>and</w:t>
      </w:r>
      <w:r>
        <w:rPr>
          <w:color w:val="C30030"/>
          <w:spacing w:val="-19"/>
        </w:rPr>
        <w:t xml:space="preserve"> </w:t>
      </w:r>
      <w:r>
        <w:rPr>
          <w:color w:val="C30030"/>
          <w:spacing w:val="-10"/>
        </w:rPr>
        <w:t>Cord</w:t>
      </w:r>
    </w:p>
    <w:p w14:paraId="401E38A8" w14:textId="0DC2A241" w:rsidR="00526F97" w:rsidRDefault="00526F97">
      <w:pPr>
        <w:pStyle w:val="Balk1"/>
        <w:spacing w:before="302"/>
        <w:rPr>
          <w:color w:val="001F5F"/>
          <w:spacing w:val="-2"/>
        </w:rPr>
      </w:pPr>
      <w:r>
        <w:rPr>
          <w:color w:val="001F5F"/>
          <w:spacing w:val="-2"/>
        </w:rPr>
        <w:t>Authors: Ertuğrul Can Canbolat</w:t>
      </w:r>
    </w:p>
    <w:p w14:paraId="19B84B41" w14:textId="496620BB" w:rsidR="00526F97" w:rsidRDefault="00526F97">
      <w:pPr>
        <w:pStyle w:val="Balk1"/>
        <w:spacing w:before="302"/>
        <w:rPr>
          <w:color w:val="001F5F"/>
          <w:spacing w:val="-2"/>
        </w:rPr>
      </w:pPr>
      <w:proofErr w:type="spellStart"/>
      <w:r>
        <w:rPr>
          <w:color w:val="001F5F"/>
          <w:spacing w:val="-2"/>
        </w:rPr>
        <w:t>Lexology</w:t>
      </w:r>
      <w:proofErr w:type="spellEnd"/>
      <w:r>
        <w:rPr>
          <w:color w:val="001F5F"/>
          <w:spacing w:val="-2"/>
        </w:rPr>
        <w:t>, 29.11.2024</w:t>
      </w:r>
    </w:p>
    <w:p w14:paraId="263ABF4B" w14:textId="16F495A9" w:rsidR="00EE37F9" w:rsidRDefault="00C7092E">
      <w:pPr>
        <w:pStyle w:val="Balk1"/>
        <w:spacing w:before="302"/>
      </w:pPr>
      <w:r>
        <w:rPr>
          <w:color w:val="001F5F"/>
          <w:spacing w:val="-2"/>
        </w:rPr>
        <w:t>Introduction</w:t>
      </w:r>
    </w:p>
    <w:p w14:paraId="36C96974" w14:textId="77777777" w:rsidR="00EE37F9" w:rsidRDefault="00C7092E">
      <w:pPr>
        <w:pStyle w:val="GvdeMetni"/>
        <w:spacing w:before="287" w:line="276" w:lineRule="auto"/>
        <w:ind w:left="140" w:right="115"/>
        <w:jc w:val="both"/>
      </w:pPr>
      <w:r>
        <w:t>In July 2024, the Republic of Türkiye Ministry of Trade (“</w:t>
      </w:r>
      <w:r>
        <w:rPr>
          <w:b/>
        </w:rPr>
        <w:t>Ministry</w:t>
      </w:r>
      <w:r>
        <w:t>”) Directorate General for Imports (“</w:t>
      </w:r>
      <w:r>
        <w:rPr>
          <w:b/>
        </w:rPr>
        <w:t>Directorate General</w:t>
      </w:r>
      <w:r>
        <w:t>”) had announced its Final Disclosure Report</w:t>
      </w:r>
      <w:hyperlink w:anchor="_bookmark0" w:history="1">
        <w:r>
          <w:rPr>
            <w:vertAlign w:val="superscript"/>
          </w:rPr>
          <w:t>1</w:t>
        </w:r>
      </w:hyperlink>
      <w:r>
        <w:t xml:space="preserve"> (the “</w:t>
      </w:r>
      <w:r>
        <w:rPr>
          <w:b/>
        </w:rPr>
        <w:t>First Final Disclosure</w:t>
      </w:r>
      <w:r>
        <w:t xml:space="preserve">”) regarding the investigation carried out concerning the imports of the product </w:t>
      </w:r>
      <w:proofErr w:type="spellStart"/>
      <w:r>
        <w:t>vulcanised</w:t>
      </w:r>
      <w:proofErr w:type="spellEnd"/>
      <w:r>
        <w:rPr>
          <w:spacing w:val="-5"/>
        </w:rPr>
        <w:t xml:space="preserve"> </w:t>
      </w:r>
      <w:r>
        <w:t>rubber</w:t>
      </w:r>
      <w:r>
        <w:rPr>
          <w:spacing w:val="-4"/>
        </w:rPr>
        <w:t xml:space="preserve"> </w:t>
      </w:r>
      <w:r>
        <w:t>thread</w:t>
      </w:r>
      <w:r>
        <w:rPr>
          <w:spacing w:val="-5"/>
        </w:rPr>
        <w:t xml:space="preserve"> </w:t>
      </w:r>
      <w:r>
        <w:t>and</w:t>
      </w:r>
      <w:r>
        <w:rPr>
          <w:spacing w:val="-5"/>
        </w:rPr>
        <w:t xml:space="preserve"> </w:t>
      </w:r>
      <w:r>
        <w:t>cord</w:t>
      </w:r>
      <w:r>
        <w:rPr>
          <w:spacing w:val="-5"/>
        </w:rPr>
        <w:t xml:space="preserve"> </w:t>
      </w:r>
      <w:r>
        <w:t>(“</w:t>
      </w:r>
      <w:r>
        <w:rPr>
          <w:b/>
        </w:rPr>
        <w:t>concerned</w:t>
      </w:r>
      <w:r>
        <w:rPr>
          <w:b/>
          <w:spacing w:val="-6"/>
        </w:rPr>
        <w:t xml:space="preserve"> </w:t>
      </w:r>
      <w:r>
        <w:rPr>
          <w:b/>
        </w:rPr>
        <w:t>product</w:t>
      </w:r>
      <w:r>
        <w:t>”)</w:t>
      </w:r>
      <w:r>
        <w:rPr>
          <w:spacing w:val="-5"/>
        </w:rPr>
        <w:t xml:space="preserve"> </w:t>
      </w:r>
      <w:r>
        <w:t>originating</w:t>
      </w:r>
      <w:r>
        <w:rPr>
          <w:spacing w:val="-4"/>
        </w:rPr>
        <w:t xml:space="preserve"> </w:t>
      </w:r>
      <w:r>
        <w:t>in</w:t>
      </w:r>
      <w:r>
        <w:rPr>
          <w:spacing w:val="-5"/>
        </w:rPr>
        <w:t xml:space="preserve"> </w:t>
      </w:r>
      <w:r>
        <w:t>the</w:t>
      </w:r>
      <w:r>
        <w:rPr>
          <w:spacing w:val="-6"/>
        </w:rPr>
        <w:t xml:space="preserve"> </w:t>
      </w:r>
      <w:r>
        <w:t>Republic</w:t>
      </w:r>
      <w:r>
        <w:rPr>
          <w:spacing w:val="-5"/>
        </w:rPr>
        <w:t xml:space="preserve"> </w:t>
      </w:r>
      <w:r>
        <w:t>of</w:t>
      </w:r>
      <w:r>
        <w:rPr>
          <w:spacing w:val="-3"/>
        </w:rPr>
        <w:t xml:space="preserve"> </w:t>
      </w:r>
      <w:r>
        <w:t>India (“</w:t>
      </w:r>
      <w:r>
        <w:rPr>
          <w:b/>
        </w:rPr>
        <w:t>India</w:t>
      </w:r>
      <w:r>
        <w:t>”). The Directorate General surprisingly published a further Final Disclosure Report</w:t>
      </w:r>
      <w:hyperlink w:anchor="_bookmark1" w:history="1">
        <w:r>
          <w:rPr>
            <w:vertAlign w:val="superscript"/>
          </w:rPr>
          <w:t>2</w:t>
        </w:r>
      </w:hyperlink>
      <w:r>
        <w:t xml:space="preserve"> (the</w:t>
      </w:r>
      <w:r>
        <w:rPr>
          <w:spacing w:val="-5"/>
        </w:rPr>
        <w:t xml:space="preserve"> </w:t>
      </w:r>
      <w:r>
        <w:t>“</w:t>
      </w:r>
      <w:r>
        <w:rPr>
          <w:b/>
        </w:rPr>
        <w:t>Revised</w:t>
      </w:r>
      <w:r>
        <w:rPr>
          <w:b/>
          <w:spacing w:val="-2"/>
        </w:rPr>
        <w:t xml:space="preserve"> </w:t>
      </w:r>
      <w:r>
        <w:rPr>
          <w:b/>
        </w:rPr>
        <w:t>Final</w:t>
      </w:r>
      <w:r>
        <w:rPr>
          <w:b/>
          <w:spacing w:val="-4"/>
        </w:rPr>
        <w:t xml:space="preserve"> </w:t>
      </w:r>
      <w:r>
        <w:rPr>
          <w:b/>
        </w:rPr>
        <w:t>Disclosure</w:t>
      </w:r>
      <w:r>
        <w:t>”)</w:t>
      </w:r>
      <w:r>
        <w:rPr>
          <w:spacing w:val="-3"/>
        </w:rPr>
        <w:t xml:space="preserve"> </w:t>
      </w:r>
      <w:r>
        <w:t>in</w:t>
      </w:r>
      <w:r>
        <w:rPr>
          <w:spacing w:val="-1"/>
        </w:rPr>
        <w:t xml:space="preserve"> </w:t>
      </w:r>
      <w:r>
        <w:t>September</w:t>
      </w:r>
      <w:r>
        <w:rPr>
          <w:spacing w:val="-4"/>
        </w:rPr>
        <w:t xml:space="preserve"> </w:t>
      </w:r>
      <w:r>
        <w:t>2024,</w:t>
      </w:r>
      <w:r>
        <w:rPr>
          <w:spacing w:val="-3"/>
        </w:rPr>
        <w:t xml:space="preserve"> </w:t>
      </w:r>
      <w:r>
        <w:t>according</w:t>
      </w:r>
      <w:r>
        <w:rPr>
          <w:spacing w:val="-5"/>
        </w:rPr>
        <w:t xml:space="preserve"> </w:t>
      </w:r>
      <w:r>
        <w:t>to</w:t>
      </w:r>
      <w:r>
        <w:rPr>
          <w:spacing w:val="-4"/>
        </w:rPr>
        <w:t xml:space="preserve"> </w:t>
      </w:r>
      <w:r>
        <w:t>which</w:t>
      </w:r>
      <w:r>
        <w:rPr>
          <w:spacing w:val="-1"/>
        </w:rPr>
        <w:t xml:space="preserve"> </w:t>
      </w:r>
      <w:r>
        <w:t>a</w:t>
      </w:r>
      <w:r>
        <w:rPr>
          <w:spacing w:val="-7"/>
        </w:rPr>
        <w:t xml:space="preserve"> </w:t>
      </w:r>
      <w:r>
        <w:t>different</w:t>
      </w:r>
      <w:r>
        <w:rPr>
          <w:spacing w:val="-4"/>
        </w:rPr>
        <w:t xml:space="preserve"> </w:t>
      </w:r>
      <w:r>
        <w:t>approach was adopted for the dumping margin calculation.</w:t>
      </w:r>
    </w:p>
    <w:p w14:paraId="67DF4C5F" w14:textId="77777777" w:rsidR="00EE37F9" w:rsidRDefault="00C7092E">
      <w:pPr>
        <w:pStyle w:val="GvdeMetni"/>
        <w:spacing w:before="241" w:line="276" w:lineRule="auto"/>
        <w:ind w:left="140" w:right="113"/>
        <w:jc w:val="both"/>
      </w:pPr>
      <w:r>
        <w:t>This Revised Final Disclosure could result in a decision of an utterly exceptional nature since it diverges from most of the previous decisions with respect to dumping margin calculations and can also affect the dumping margin analyses</w:t>
      </w:r>
      <w:r>
        <w:rPr>
          <w:spacing w:val="-1"/>
        </w:rPr>
        <w:t xml:space="preserve"> </w:t>
      </w:r>
      <w:r>
        <w:t>of the Ministry</w:t>
      </w:r>
      <w:r>
        <w:rPr>
          <w:spacing w:val="-1"/>
        </w:rPr>
        <w:t xml:space="preserve"> </w:t>
      </w:r>
      <w:r>
        <w:t>to be done during</w:t>
      </w:r>
      <w:r>
        <w:rPr>
          <w:spacing w:val="-1"/>
        </w:rPr>
        <w:t xml:space="preserve"> </w:t>
      </w:r>
      <w:r>
        <w:t>incoming investigations, particularly those relating to cases with export price fluctuations among regions, purchasers or time periods. This article aims to provide an overview of this exceptional decision from a critical standpoint.</w:t>
      </w:r>
    </w:p>
    <w:p w14:paraId="7C81D26B" w14:textId="77777777" w:rsidR="00EE37F9" w:rsidRDefault="00C7092E">
      <w:pPr>
        <w:pStyle w:val="Balk1"/>
      </w:pPr>
      <w:r>
        <w:rPr>
          <w:color w:val="001F5F"/>
        </w:rPr>
        <w:t>The</w:t>
      </w:r>
      <w:r>
        <w:rPr>
          <w:color w:val="001F5F"/>
          <w:spacing w:val="-10"/>
        </w:rPr>
        <w:t xml:space="preserve"> </w:t>
      </w:r>
      <w:r>
        <w:rPr>
          <w:color w:val="001F5F"/>
        </w:rPr>
        <w:t>Investigation</w:t>
      </w:r>
      <w:r>
        <w:rPr>
          <w:color w:val="001F5F"/>
          <w:spacing w:val="-5"/>
        </w:rPr>
        <w:t xml:space="preserve"> </w:t>
      </w:r>
      <w:r>
        <w:rPr>
          <w:color w:val="001F5F"/>
        </w:rPr>
        <w:t>and</w:t>
      </w:r>
      <w:r>
        <w:rPr>
          <w:color w:val="001F5F"/>
          <w:spacing w:val="-6"/>
        </w:rPr>
        <w:t xml:space="preserve"> </w:t>
      </w:r>
      <w:r>
        <w:rPr>
          <w:color w:val="001F5F"/>
        </w:rPr>
        <w:t>The</w:t>
      </w:r>
      <w:r>
        <w:rPr>
          <w:color w:val="001F5F"/>
          <w:spacing w:val="-10"/>
        </w:rPr>
        <w:t xml:space="preserve"> </w:t>
      </w:r>
      <w:r>
        <w:rPr>
          <w:color w:val="001F5F"/>
        </w:rPr>
        <w:t>Final</w:t>
      </w:r>
      <w:r>
        <w:rPr>
          <w:color w:val="001F5F"/>
          <w:spacing w:val="-8"/>
        </w:rPr>
        <w:t xml:space="preserve"> </w:t>
      </w:r>
      <w:r>
        <w:rPr>
          <w:color w:val="001F5F"/>
          <w:spacing w:val="-2"/>
        </w:rPr>
        <w:t>Disclosures</w:t>
      </w:r>
    </w:p>
    <w:p w14:paraId="1B724105" w14:textId="77777777" w:rsidR="00EE37F9" w:rsidRDefault="00C7092E">
      <w:pPr>
        <w:pStyle w:val="GvdeMetni"/>
        <w:spacing w:before="288" w:line="276" w:lineRule="auto"/>
        <w:ind w:left="140" w:right="112"/>
        <w:jc w:val="both"/>
      </w:pPr>
      <w:r>
        <w:t>The investigation was initiated following an application submitted by</w:t>
      </w:r>
      <w:r>
        <w:rPr>
          <w:spacing w:val="-1"/>
        </w:rPr>
        <w:t xml:space="preserve"> </w:t>
      </w:r>
      <w:r>
        <w:t xml:space="preserve">the Domestic Industry, which is composed of </w:t>
      </w:r>
      <w:proofErr w:type="spellStart"/>
      <w:r>
        <w:t>Elpa</w:t>
      </w:r>
      <w:proofErr w:type="spellEnd"/>
      <w:r>
        <w:t xml:space="preserve"> as the applicant and Şahin </w:t>
      </w:r>
      <w:proofErr w:type="spellStart"/>
      <w:r>
        <w:t>Lateks</w:t>
      </w:r>
      <w:proofErr w:type="spellEnd"/>
      <w:r>
        <w:t xml:space="preserve"> Sanayi ve Tic. A.Ş. (“</w:t>
      </w:r>
      <w:r>
        <w:rPr>
          <w:b/>
        </w:rPr>
        <w:t>Şahin</w:t>
      </w:r>
      <w:r>
        <w:t>”) as the</w:t>
      </w:r>
      <w:r>
        <w:rPr>
          <w:spacing w:val="-1"/>
        </w:rPr>
        <w:t xml:space="preserve"> </w:t>
      </w:r>
      <w:r>
        <w:t>supporter.</w:t>
      </w:r>
      <w:r>
        <w:rPr>
          <w:spacing w:val="-2"/>
        </w:rPr>
        <w:t xml:space="preserve"> </w:t>
      </w:r>
      <w:r>
        <w:t>The investigation</w:t>
      </w:r>
      <w:r>
        <w:rPr>
          <w:spacing w:val="-1"/>
        </w:rPr>
        <w:t xml:space="preserve"> </w:t>
      </w:r>
      <w:r>
        <w:t>period (“</w:t>
      </w:r>
      <w:r>
        <w:rPr>
          <w:b/>
        </w:rPr>
        <w:t>IP</w:t>
      </w:r>
      <w:r>
        <w:t>”) was determined as</w:t>
      </w:r>
      <w:r>
        <w:rPr>
          <w:spacing w:val="-2"/>
        </w:rPr>
        <w:t xml:space="preserve"> </w:t>
      </w:r>
      <w:r>
        <w:t>the</w:t>
      </w:r>
      <w:r>
        <w:rPr>
          <w:spacing w:val="-1"/>
        </w:rPr>
        <w:t xml:space="preserve"> </w:t>
      </w:r>
      <w:r>
        <w:t>period between</w:t>
      </w:r>
      <w:r>
        <w:rPr>
          <w:spacing w:val="-1"/>
        </w:rPr>
        <w:t xml:space="preserve"> </w:t>
      </w:r>
      <w:r>
        <w:t xml:space="preserve">1 April 2022 and 31 March 2023, while the injury review period was determined as between 1 January 2020 31 March 2023. Located in India, </w:t>
      </w:r>
      <w:proofErr w:type="spellStart"/>
      <w:r>
        <w:t>Rubfila</w:t>
      </w:r>
      <w:proofErr w:type="spellEnd"/>
      <w:r>
        <w:t xml:space="preserve"> International Limited (“</w:t>
      </w:r>
      <w:proofErr w:type="spellStart"/>
      <w:r>
        <w:rPr>
          <w:b/>
        </w:rPr>
        <w:t>Rubfila</w:t>
      </w:r>
      <w:proofErr w:type="spellEnd"/>
      <w:r>
        <w:t>”), producer/exporter of the concerned product, as</w:t>
      </w:r>
      <w:r>
        <w:rPr>
          <w:spacing w:val="-2"/>
        </w:rPr>
        <w:t xml:space="preserve"> </w:t>
      </w:r>
      <w:r>
        <w:t xml:space="preserve">well as the two importers of the concerned product into Türkiye, have provided the Ministry with their responses to the questionnaire. Therefore, the dumping determinations concerning </w:t>
      </w:r>
      <w:proofErr w:type="spellStart"/>
      <w:r>
        <w:t>Rubfila</w:t>
      </w:r>
      <w:proofErr w:type="spellEnd"/>
      <w:r>
        <w:t xml:space="preserve"> have been made based on the data provided by it, the only cooperating company located in India.</w:t>
      </w:r>
    </w:p>
    <w:p w14:paraId="093510E5" w14:textId="77777777" w:rsidR="00EE37F9" w:rsidRDefault="00EE37F9">
      <w:pPr>
        <w:pStyle w:val="GvdeMetni"/>
        <w:rPr>
          <w:sz w:val="20"/>
        </w:rPr>
      </w:pPr>
    </w:p>
    <w:p w14:paraId="53D5DDE2" w14:textId="77777777" w:rsidR="00EE37F9" w:rsidRDefault="00EE37F9">
      <w:pPr>
        <w:pStyle w:val="GvdeMetni"/>
        <w:rPr>
          <w:sz w:val="20"/>
        </w:rPr>
      </w:pPr>
    </w:p>
    <w:p w14:paraId="4EAE05E3" w14:textId="77777777" w:rsidR="00EE37F9" w:rsidRDefault="00EE37F9">
      <w:pPr>
        <w:pStyle w:val="GvdeMetni"/>
        <w:rPr>
          <w:sz w:val="20"/>
        </w:rPr>
      </w:pPr>
    </w:p>
    <w:p w14:paraId="0524A6B1" w14:textId="77777777" w:rsidR="00EE37F9" w:rsidRDefault="00EE37F9">
      <w:pPr>
        <w:pStyle w:val="GvdeMetni"/>
        <w:rPr>
          <w:sz w:val="20"/>
        </w:rPr>
      </w:pPr>
    </w:p>
    <w:p w14:paraId="6A1B83E1" w14:textId="77777777" w:rsidR="00EE37F9" w:rsidRDefault="00EE37F9">
      <w:pPr>
        <w:pStyle w:val="GvdeMetni"/>
        <w:rPr>
          <w:sz w:val="20"/>
        </w:rPr>
      </w:pPr>
    </w:p>
    <w:p w14:paraId="3C9F35B1" w14:textId="77777777" w:rsidR="00EE37F9" w:rsidRDefault="00C7092E">
      <w:pPr>
        <w:pStyle w:val="GvdeMetni"/>
        <w:spacing w:before="155"/>
        <w:rPr>
          <w:sz w:val="20"/>
        </w:rPr>
      </w:pPr>
      <w:r>
        <w:rPr>
          <w:noProof/>
        </w:rPr>
        <mc:AlternateContent>
          <mc:Choice Requires="wps">
            <w:drawing>
              <wp:anchor distT="0" distB="0" distL="0" distR="0" simplePos="0" relativeHeight="487588352" behindDoc="1" locked="0" layoutInCell="1" allowOverlap="1" wp14:anchorId="0D46ACD6" wp14:editId="6B61372D">
                <wp:simplePos x="0" y="0"/>
                <wp:positionH relativeFrom="page">
                  <wp:posOffset>914704</wp:posOffset>
                </wp:positionH>
                <wp:positionV relativeFrom="paragraph">
                  <wp:posOffset>268746</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FAFD95" id="Graphic 3" o:spid="_x0000_s1026" style="position:absolute;margin-left:1in;margin-top:21.15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" path="m1829054,l,,,7619r1829054,l1829054,xe" fillcolor="black" stroked="f">
                <v:path arrowok="t"/>
                <w10:wrap type="topAndBottom" anchorx="page"/>
              </v:shape>
            </w:pict>
          </mc:Fallback>
        </mc:AlternateContent>
      </w:r>
    </w:p>
    <w:p w14:paraId="42DB90CE" w14:textId="77777777" w:rsidR="00EE37F9" w:rsidRDefault="00EE37F9">
      <w:pPr>
        <w:pStyle w:val="GvdeMetni"/>
        <w:rPr>
          <w:sz w:val="20"/>
        </w:rPr>
      </w:pPr>
    </w:p>
    <w:p w14:paraId="7C4F0FF1" w14:textId="77777777" w:rsidR="00EE37F9" w:rsidRDefault="00EE37F9">
      <w:pPr>
        <w:pStyle w:val="GvdeMetni"/>
        <w:spacing w:before="14"/>
        <w:rPr>
          <w:sz w:val="20"/>
        </w:rPr>
      </w:pPr>
    </w:p>
    <w:p w14:paraId="002379FB" w14:textId="77777777" w:rsidR="00EE37F9" w:rsidRDefault="00C7092E">
      <w:pPr>
        <w:spacing w:before="1"/>
        <w:ind w:left="140"/>
        <w:rPr>
          <w:sz w:val="20"/>
        </w:rPr>
      </w:pPr>
      <w:bookmarkStart w:id="0" w:name="_bookmark0"/>
      <w:bookmarkEnd w:id="0"/>
      <w:r>
        <w:rPr>
          <w:sz w:val="20"/>
          <w:vertAlign w:val="superscript"/>
        </w:rPr>
        <w:t>1</w:t>
      </w:r>
      <w:r>
        <w:rPr>
          <w:spacing w:val="-2"/>
          <w:sz w:val="20"/>
        </w:rPr>
        <w:t xml:space="preserve"> https://ticaret.gov.tr/data/6501977713b8769d98616a1c/Nihai%20Bildirim.pdf.</w:t>
      </w:r>
    </w:p>
    <w:p w14:paraId="6C0B352C" w14:textId="77777777" w:rsidR="00EE37F9" w:rsidRDefault="00C7092E">
      <w:pPr>
        <w:spacing w:before="121"/>
        <w:ind w:left="140"/>
        <w:rPr>
          <w:sz w:val="20"/>
        </w:rPr>
      </w:pPr>
      <w:bookmarkStart w:id="1" w:name="_bookmark1"/>
      <w:bookmarkEnd w:id="1"/>
      <w:r>
        <w:rPr>
          <w:sz w:val="20"/>
          <w:vertAlign w:val="superscript"/>
        </w:rPr>
        <w:t>2</w:t>
      </w:r>
      <w:r>
        <w:rPr>
          <w:spacing w:val="-2"/>
          <w:sz w:val="20"/>
        </w:rPr>
        <w:t xml:space="preserve"> https://ticaret.gov.tr/data/6501977713b8769d98616a1c/Nihai%20Bildirim_Revize.pdf.</w:t>
      </w:r>
    </w:p>
    <w:p w14:paraId="0503D286" w14:textId="77777777" w:rsidR="00EE37F9" w:rsidRDefault="00EE37F9">
      <w:pPr>
        <w:pStyle w:val="GvdeMetni"/>
        <w:rPr>
          <w:sz w:val="16"/>
        </w:rPr>
      </w:pPr>
    </w:p>
    <w:p w14:paraId="7EB01201" w14:textId="77777777" w:rsidR="00EE37F9" w:rsidRDefault="00EE37F9">
      <w:pPr>
        <w:pStyle w:val="GvdeMetni"/>
        <w:spacing w:before="65"/>
        <w:rPr>
          <w:sz w:val="16"/>
        </w:rPr>
      </w:pPr>
    </w:p>
    <w:p w14:paraId="43AF9A76" w14:textId="77777777" w:rsidR="00EE37F9" w:rsidRDefault="00C7092E">
      <w:pPr>
        <w:ind w:left="3541" w:right="255" w:hanging="2492"/>
        <w:rPr>
          <w:sz w:val="16"/>
        </w:rPr>
      </w:pPr>
      <w:proofErr w:type="spellStart"/>
      <w:r>
        <w:rPr>
          <w:color w:val="3D3D42"/>
          <w:sz w:val="16"/>
        </w:rPr>
        <w:t>Çamlıca</w:t>
      </w:r>
      <w:proofErr w:type="spellEnd"/>
      <w:r>
        <w:rPr>
          <w:color w:val="3D3D42"/>
          <w:spacing w:val="-2"/>
          <w:sz w:val="16"/>
        </w:rPr>
        <w:t xml:space="preserve"> </w:t>
      </w:r>
      <w:proofErr w:type="spellStart"/>
      <w:r>
        <w:rPr>
          <w:color w:val="3D3D42"/>
          <w:sz w:val="16"/>
        </w:rPr>
        <w:t>Köşkü</w:t>
      </w:r>
      <w:proofErr w:type="spellEnd"/>
      <w:r>
        <w:rPr>
          <w:color w:val="3D3D42"/>
          <w:sz w:val="16"/>
        </w:rPr>
        <w:t>,</w:t>
      </w:r>
      <w:r>
        <w:rPr>
          <w:color w:val="3D3D42"/>
          <w:spacing w:val="-1"/>
          <w:sz w:val="16"/>
        </w:rPr>
        <w:t xml:space="preserve"> </w:t>
      </w:r>
      <w:proofErr w:type="spellStart"/>
      <w:r>
        <w:rPr>
          <w:color w:val="3D3D42"/>
          <w:sz w:val="16"/>
        </w:rPr>
        <w:t>Tekkeci</w:t>
      </w:r>
      <w:proofErr w:type="spellEnd"/>
      <w:r>
        <w:rPr>
          <w:color w:val="3D3D42"/>
          <w:spacing w:val="-2"/>
          <w:sz w:val="16"/>
        </w:rPr>
        <w:t xml:space="preserve"> </w:t>
      </w:r>
      <w:r>
        <w:rPr>
          <w:color w:val="3D3D42"/>
          <w:sz w:val="16"/>
        </w:rPr>
        <w:t>Sok.</w:t>
      </w:r>
      <w:r>
        <w:rPr>
          <w:color w:val="3D3D42"/>
          <w:spacing w:val="-1"/>
          <w:sz w:val="16"/>
        </w:rPr>
        <w:t xml:space="preserve"> </w:t>
      </w:r>
      <w:r>
        <w:rPr>
          <w:color w:val="3D3D42"/>
          <w:sz w:val="16"/>
        </w:rPr>
        <w:t>No:</w:t>
      </w:r>
      <w:r>
        <w:rPr>
          <w:color w:val="3D3D42"/>
          <w:spacing w:val="-1"/>
          <w:sz w:val="16"/>
        </w:rPr>
        <w:t xml:space="preserve"> </w:t>
      </w:r>
      <w:r>
        <w:rPr>
          <w:color w:val="3D3D42"/>
          <w:sz w:val="16"/>
        </w:rPr>
        <w:t>3-5,</w:t>
      </w:r>
      <w:r>
        <w:rPr>
          <w:color w:val="3D3D42"/>
          <w:spacing w:val="-3"/>
          <w:sz w:val="16"/>
        </w:rPr>
        <w:t xml:space="preserve"> </w:t>
      </w:r>
      <w:proofErr w:type="spellStart"/>
      <w:r>
        <w:rPr>
          <w:color w:val="3D3D42"/>
          <w:sz w:val="16"/>
        </w:rPr>
        <w:t>Arnavutköy</w:t>
      </w:r>
      <w:proofErr w:type="spellEnd"/>
      <w:r>
        <w:rPr>
          <w:color w:val="3D3D42"/>
          <w:spacing w:val="-2"/>
          <w:sz w:val="16"/>
        </w:rPr>
        <w:t xml:space="preserve"> </w:t>
      </w:r>
      <w:r>
        <w:rPr>
          <w:color w:val="3D3D42"/>
          <w:sz w:val="16"/>
        </w:rPr>
        <w:t>•</w:t>
      </w:r>
      <w:r>
        <w:rPr>
          <w:color w:val="3D3D42"/>
          <w:spacing w:val="-3"/>
          <w:sz w:val="16"/>
        </w:rPr>
        <w:t xml:space="preserve"> </w:t>
      </w:r>
      <w:r>
        <w:rPr>
          <w:color w:val="3D3D42"/>
          <w:sz w:val="16"/>
        </w:rPr>
        <w:t>34345•</w:t>
      </w:r>
      <w:r>
        <w:rPr>
          <w:color w:val="3D3D42"/>
          <w:spacing w:val="-2"/>
          <w:sz w:val="16"/>
        </w:rPr>
        <w:t xml:space="preserve"> </w:t>
      </w:r>
      <w:r>
        <w:rPr>
          <w:color w:val="3D3D42"/>
          <w:sz w:val="16"/>
        </w:rPr>
        <w:t>Beşiktaş</w:t>
      </w:r>
      <w:r>
        <w:rPr>
          <w:color w:val="3D3D42"/>
          <w:spacing w:val="-2"/>
          <w:sz w:val="16"/>
        </w:rPr>
        <w:t xml:space="preserve"> </w:t>
      </w:r>
      <w:r>
        <w:rPr>
          <w:color w:val="3D3D42"/>
          <w:sz w:val="16"/>
        </w:rPr>
        <w:t>•</w:t>
      </w:r>
      <w:r>
        <w:rPr>
          <w:color w:val="3D3D42"/>
          <w:spacing w:val="-2"/>
          <w:sz w:val="16"/>
        </w:rPr>
        <w:t xml:space="preserve"> </w:t>
      </w:r>
      <w:r>
        <w:rPr>
          <w:color w:val="3D3D42"/>
          <w:sz w:val="16"/>
        </w:rPr>
        <w:t>İstanbul</w:t>
      </w:r>
      <w:r>
        <w:rPr>
          <w:color w:val="3D3D42"/>
          <w:spacing w:val="-2"/>
          <w:sz w:val="16"/>
        </w:rPr>
        <w:t xml:space="preserve"> </w:t>
      </w:r>
      <w:r>
        <w:rPr>
          <w:color w:val="3D3D42"/>
          <w:sz w:val="16"/>
        </w:rPr>
        <w:t>•</w:t>
      </w:r>
      <w:r>
        <w:rPr>
          <w:color w:val="3D3D42"/>
          <w:spacing w:val="-3"/>
          <w:sz w:val="16"/>
        </w:rPr>
        <w:t xml:space="preserve"> </w:t>
      </w:r>
      <w:r>
        <w:rPr>
          <w:color w:val="3D3D42"/>
          <w:sz w:val="16"/>
        </w:rPr>
        <w:t>TÜRKİYE •Tel:</w:t>
      </w:r>
      <w:r>
        <w:rPr>
          <w:color w:val="3D3D42"/>
          <w:spacing w:val="-1"/>
          <w:sz w:val="16"/>
        </w:rPr>
        <w:t xml:space="preserve"> </w:t>
      </w:r>
      <w:r>
        <w:rPr>
          <w:color w:val="3D3D42"/>
          <w:sz w:val="16"/>
        </w:rPr>
        <w:t>(212)</w:t>
      </w:r>
      <w:r>
        <w:rPr>
          <w:color w:val="3D3D42"/>
          <w:spacing w:val="-2"/>
          <w:sz w:val="16"/>
        </w:rPr>
        <w:t xml:space="preserve"> </w:t>
      </w:r>
      <w:r>
        <w:rPr>
          <w:color w:val="3D3D42"/>
          <w:sz w:val="16"/>
        </w:rPr>
        <w:t>211</w:t>
      </w:r>
      <w:r>
        <w:rPr>
          <w:color w:val="3D3D42"/>
          <w:spacing w:val="-1"/>
          <w:sz w:val="16"/>
        </w:rPr>
        <w:t xml:space="preserve"> </w:t>
      </w:r>
      <w:r>
        <w:rPr>
          <w:color w:val="3D3D42"/>
          <w:sz w:val="16"/>
        </w:rPr>
        <w:t>5011</w:t>
      </w:r>
      <w:r>
        <w:rPr>
          <w:color w:val="3D3D42"/>
          <w:spacing w:val="-1"/>
          <w:sz w:val="16"/>
        </w:rPr>
        <w:t xml:space="preserve"> </w:t>
      </w:r>
      <w:r>
        <w:rPr>
          <w:color w:val="3D3D42"/>
          <w:sz w:val="16"/>
        </w:rPr>
        <w:t>•</w:t>
      </w:r>
      <w:r>
        <w:rPr>
          <w:color w:val="3D3D42"/>
          <w:spacing w:val="40"/>
          <w:sz w:val="16"/>
        </w:rPr>
        <w:t xml:space="preserve"> </w:t>
      </w:r>
      <w:r>
        <w:rPr>
          <w:color w:val="3D3D42"/>
          <w:sz w:val="16"/>
        </w:rPr>
        <w:t xml:space="preserve">actecon.com • </w:t>
      </w:r>
      <w:hyperlink r:id="rId7">
        <w:r>
          <w:rPr>
            <w:color w:val="3D3D42"/>
            <w:sz w:val="16"/>
          </w:rPr>
          <w:t>info@actecon.com</w:t>
        </w:r>
      </w:hyperlink>
    </w:p>
    <w:p w14:paraId="42C58280" w14:textId="77777777" w:rsidR="00EE37F9" w:rsidRDefault="00EE37F9">
      <w:pPr>
        <w:rPr>
          <w:sz w:val="16"/>
        </w:rPr>
        <w:sectPr w:rsidR="00EE37F9">
          <w:type w:val="continuous"/>
          <w:pgSz w:w="11910" w:h="16850"/>
          <w:pgMar w:top="700" w:right="1320" w:bottom="280" w:left="1300" w:header="720" w:footer="720" w:gutter="0"/>
          <w:cols w:space="720"/>
        </w:sectPr>
      </w:pPr>
    </w:p>
    <w:p w14:paraId="2E2C35FA" w14:textId="77777777" w:rsidR="00EE37F9" w:rsidRDefault="00C7092E">
      <w:pPr>
        <w:pStyle w:val="GvdeMetni"/>
        <w:spacing w:before="24" w:line="276" w:lineRule="auto"/>
        <w:ind w:left="140" w:right="116"/>
        <w:jc w:val="both"/>
      </w:pPr>
      <w:r>
        <w:lastRenderedPageBreak/>
        <w:t xml:space="preserve">As anticipated, the dumping margin for the cooperating party was calculated by comparing the normal value and export prices on a weighted average basis. The dumping margin was determined to be 3.13% for </w:t>
      </w:r>
      <w:proofErr w:type="spellStart"/>
      <w:r>
        <w:t>Rubfila</w:t>
      </w:r>
      <w:proofErr w:type="spellEnd"/>
      <w:r>
        <w:t xml:space="preserve"> and 9.30% for others.</w:t>
      </w:r>
    </w:p>
    <w:p w14:paraId="711F8A9D" w14:textId="77777777" w:rsidR="00EE37F9" w:rsidRDefault="00C7092E">
      <w:pPr>
        <w:pStyle w:val="GvdeMetni"/>
        <w:spacing w:before="239" w:line="276" w:lineRule="auto"/>
        <w:ind w:left="140" w:right="113"/>
        <w:jc w:val="both"/>
      </w:pPr>
      <w:r>
        <w:t>Regarding the injury, the First Final Disclosure finds that (</w:t>
      </w:r>
      <w:proofErr w:type="spellStart"/>
      <w:r>
        <w:rPr>
          <w:b/>
        </w:rPr>
        <w:t>i</w:t>
      </w:r>
      <w:proofErr w:type="spellEnd"/>
      <w:r>
        <w:t>) the imports of the concerned product</w:t>
      </w:r>
      <w:r>
        <w:rPr>
          <w:spacing w:val="-8"/>
        </w:rPr>
        <w:t xml:space="preserve"> </w:t>
      </w:r>
      <w:r>
        <w:t>originating</w:t>
      </w:r>
      <w:r>
        <w:rPr>
          <w:spacing w:val="-7"/>
        </w:rPr>
        <w:t xml:space="preserve"> </w:t>
      </w:r>
      <w:r>
        <w:t>in</w:t>
      </w:r>
      <w:r>
        <w:rPr>
          <w:spacing w:val="-5"/>
        </w:rPr>
        <w:t xml:space="preserve"> </w:t>
      </w:r>
      <w:r>
        <w:t>India</w:t>
      </w:r>
      <w:r>
        <w:rPr>
          <w:spacing w:val="-9"/>
        </w:rPr>
        <w:t xml:space="preserve"> </w:t>
      </w:r>
      <w:r>
        <w:t>have</w:t>
      </w:r>
      <w:r>
        <w:rPr>
          <w:spacing w:val="-8"/>
        </w:rPr>
        <w:t xml:space="preserve"> </w:t>
      </w:r>
      <w:r>
        <w:t>increased</w:t>
      </w:r>
      <w:r>
        <w:rPr>
          <w:spacing w:val="-2"/>
        </w:rPr>
        <w:t xml:space="preserve"> </w:t>
      </w:r>
      <w:r>
        <w:t>in</w:t>
      </w:r>
      <w:r>
        <w:rPr>
          <w:spacing w:val="-8"/>
        </w:rPr>
        <w:t xml:space="preserve"> </w:t>
      </w:r>
      <w:r>
        <w:t>quantity</w:t>
      </w:r>
      <w:r>
        <w:rPr>
          <w:spacing w:val="-6"/>
        </w:rPr>
        <w:t xml:space="preserve"> </w:t>
      </w:r>
      <w:r>
        <w:t>by</w:t>
      </w:r>
      <w:r>
        <w:rPr>
          <w:spacing w:val="-9"/>
        </w:rPr>
        <w:t xml:space="preserve"> </w:t>
      </w:r>
      <w:r>
        <w:t>120%,</w:t>
      </w:r>
      <w:r>
        <w:rPr>
          <w:spacing w:val="-9"/>
        </w:rPr>
        <w:t xml:space="preserve"> </w:t>
      </w:r>
      <w:r>
        <w:t>(</w:t>
      </w:r>
      <w:r>
        <w:rPr>
          <w:b/>
        </w:rPr>
        <w:t>ii</w:t>
      </w:r>
      <w:r>
        <w:t>)</w:t>
      </w:r>
      <w:r>
        <w:rPr>
          <w:spacing w:val="-10"/>
        </w:rPr>
        <w:t xml:space="preserve"> </w:t>
      </w:r>
      <w:r>
        <w:t>the</w:t>
      </w:r>
      <w:r>
        <w:rPr>
          <w:spacing w:val="-8"/>
        </w:rPr>
        <w:t xml:space="preserve"> </w:t>
      </w:r>
      <w:r>
        <w:t>market</w:t>
      </w:r>
      <w:r>
        <w:rPr>
          <w:spacing w:val="-5"/>
        </w:rPr>
        <w:t xml:space="preserve"> </w:t>
      </w:r>
      <w:r>
        <w:t>share</w:t>
      </w:r>
      <w:r>
        <w:rPr>
          <w:spacing w:val="-8"/>
        </w:rPr>
        <w:t xml:space="preserve"> </w:t>
      </w:r>
      <w:r>
        <w:t>of</w:t>
      </w:r>
      <w:r>
        <w:rPr>
          <w:spacing w:val="-7"/>
        </w:rPr>
        <w:t xml:space="preserve"> </w:t>
      </w:r>
      <w:r>
        <w:t>these imports increased significantly by 102%, (</w:t>
      </w:r>
      <w:r>
        <w:rPr>
          <w:b/>
        </w:rPr>
        <w:t>iii</w:t>
      </w:r>
      <w:r>
        <w:t>) the dumped imports undercut the domestic market sales prices of the Domestic Industry with regard to the concerned product in 2020, 2021, and 2022, (</w:t>
      </w:r>
      <w:r>
        <w:rPr>
          <w:b/>
        </w:rPr>
        <w:t>iv</w:t>
      </w:r>
      <w:r>
        <w:t>) during the IP, price undercutting was replaced by price depression due to the fact that the Domestic Industry lowered its sales prices, (</w:t>
      </w:r>
      <w:r>
        <w:rPr>
          <w:b/>
        </w:rPr>
        <w:t>v</w:t>
      </w:r>
      <w:r>
        <w:t>) the domestic sales quantities, unit</w:t>
      </w:r>
      <w:r>
        <w:rPr>
          <w:spacing w:val="-1"/>
        </w:rPr>
        <w:t xml:space="preserve"> </w:t>
      </w:r>
      <w:r>
        <w:t>prices, and</w:t>
      </w:r>
      <w:r>
        <w:rPr>
          <w:spacing w:val="-1"/>
        </w:rPr>
        <w:t xml:space="preserve"> </w:t>
      </w:r>
      <w:r>
        <w:t>profitability of the Domestic Industry</w:t>
      </w:r>
      <w:r>
        <w:rPr>
          <w:spacing w:val="-2"/>
        </w:rPr>
        <w:t xml:space="preserve"> </w:t>
      </w:r>
      <w:r>
        <w:t>have</w:t>
      </w:r>
      <w:r>
        <w:rPr>
          <w:spacing w:val="-1"/>
        </w:rPr>
        <w:t xml:space="preserve"> </w:t>
      </w:r>
      <w:r>
        <w:t>decreased since 2021,</w:t>
      </w:r>
    </w:p>
    <w:p w14:paraId="62159E39" w14:textId="77777777" w:rsidR="00EE37F9" w:rsidRDefault="00C7092E">
      <w:pPr>
        <w:pStyle w:val="GvdeMetni"/>
        <w:spacing w:before="2" w:line="276" w:lineRule="auto"/>
        <w:ind w:left="140" w:right="114"/>
        <w:jc w:val="both"/>
      </w:pPr>
      <w:r>
        <w:t>(</w:t>
      </w:r>
      <w:r>
        <w:rPr>
          <w:b/>
        </w:rPr>
        <w:t>vi</w:t>
      </w:r>
      <w:r>
        <w:t>)</w:t>
      </w:r>
      <w:r>
        <w:rPr>
          <w:spacing w:val="-8"/>
        </w:rPr>
        <w:t xml:space="preserve"> </w:t>
      </w:r>
      <w:r>
        <w:t>the</w:t>
      </w:r>
      <w:r>
        <w:rPr>
          <w:spacing w:val="-7"/>
        </w:rPr>
        <w:t xml:space="preserve"> </w:t>
      </w:r>
      <w:r>
        <w:t>production</w:t>
      </w:r>
      <w:r>
        <w:rPr>
          <w:spacing w:val="-8"/>
        </w:rPr>
        <w:t xml:space="preserve"> </w:t>
      </w:r>
      <w:r>
        <w:t>and</w:t>
      </w:r>
      <w:r>
        <w:rPr>
          <w:spacing w:val="-6"/>
        </w:rPr>
        <w:t xml:space="preserve"> </w:t>
      </w:r>
      <w:r>
        <w:t>capacity</w:t>
      </w:r>
      <w:r>
        <w:rPr>
          <w:spacing w:val="-8"/>
        </w:rPr>
        <w:t xml:space="preserve"> </w:t>
      </w:r>
      <w:proofErr w:type="spellStart"/>
      <w:r>
        <w:t>utilisation</w:t>
      </w:r>
      <w:proofErr w:type="spellEnd"/>
      <w:r>
        <w:rPr>
          <w:spacing w:val="-6"/>
        </w:rPr>
        <w:t xml:space="preserve"> </w:t>
      </w:r>
      <w:r>
        <w:t>rate</w:t>
      </w:r>
      <w:r>
        <w:rPr>
          <w:spacing w:val="-1"/>
        </w:rPr>
        <w:t xml:space="preserve"> </w:t>
      </w:r>
      <w:r>
        <w:t>(“</w:t>
      </w:r>
      <w:r>
        <w:rPr>
          <w:b/>
        </w:rPr>
        <w:t>CUR</w:t>
      </w:r>
      <w:r>
        <w:t>”)</w:t>
      </w:r>
      <w:r>
        <w:rPr>
          <w:spacing w:val="-8"/>
        </w:rPr>
        <w:t xml:space="preserve"> </w:t>
      </w:r>
      <w:r>
        <w:t>decreased</w:t>
      </w:r>
      <w:r>
        <w:rPr>
          <w:spacing w:val="-6"/>
        </w:rPr>
        <w:t xml:space="preserve"> </w:t>
      </w:r>
      <w:r>
        <w:t>during</w:t>
      </w:r>
      <w:r>
        <w:rPr>
          <w:spacing w:val="-10"/>
        </w:rPr>
        <w:t xml:space="preserve"> </w:t>
      </w:r>
      <w:r>
        <w:t>the</w:t>
      </w:r>
      <w:r>
        <w:rPr>
          <w:spacing w:val="-3"/>
        </w:rPr>
        <w:t xml:space="preserve"> </w:t>
      </w:r>
      <w:r>
        <w:t>IP</w:t>
      </w:r>
      <w:r>
        <w:rPr>
          <w:spacing w:val="-7"/>
        </w:rPr>
        <w:t xml:space="preserve"> </w:t>
      </w:r>
      <w:r>
        <w:t>compared</w:t>
      </w:r>
      <w:r>
        <w:rPr>
          <w:spacing w:val="-6"/>
        </w:rPr>
        <w:t xml:space="preserve"> </w:t>
      </w:r>
      <w:r>
        <w:t>to 2021, (</w:t>
      </w:r>
      <w:r>
        <w:rPr>
          <w:b/>
        </w:rPr>
        <w:t>vii</w:t>
      </w:r>
      <w:r>
        <w:t>)</w:t>
      </w:r>
      <w:r>
        <w:rPr>
          <w:spacing w:val="-1"/>
        </w:rPr>
        <w:t xml:space="preserve"> </w:t>
      </w:r>
      <w:r>
        <w:t>the domestic industry operated with a</w:t>
      </w:r>
      <w:r>
        <w:rPr>
          <w:spacing w:val="-1"/>
        </w:rPr>
        <w:t xml:space="preserve"> </w:t>
      </w:r>
      <w:r>
        <w:t>low CUR, while having its total profitability decreased and stocks increased during the injury review period. The First Final Disclosure stated that the dumped imports and the injury caused to the economic indicators of the Domestic Industry took place simultaneously, suggesting the existence of a causal link between the two; and it is considered that other factors that might have caused injury are not sufficient to eliminate the causal link between the dumping and the injury.</w:t>
      </w:r>
    </w:p>
    <w:p w14:paraId="7263CDD7" w14:textId="77777777" w:rsidR="00EE37F9" w:rsidRDefault="00C7092E">
      <w:pPr>
        <w:pStyle w:val="GvdeMetni"/>
        <w:spacing w:before="238" w:line="276" w:lineRule="auto"/>
        <w:ind w:left="140" w:right="114"/>
        <w:jc w:val="both"/>
      </w:pPr>
      <w:r>
        <w:t>Just</w:t>
      </w:r>
      <w:r>
        <w:rPr>
          <w:spacing w:val="-2"/>
        </w:rPr>
        <w:t xml:space="preserve"> </w:t>
      </w:r>
      <w:r>
        <w:t>a</w:t>
      </w:r>
      <w:r>
        <w:rPr>
          <w:spacing w:val="-5"/>
        </w:rPr>
        <w:t xml:space="preserve"> </w:t>
      </w:r>
      <w:r>
        <w:t>few</w:t>
      </w:r>
      <w:r>
        <w:rPr>
          <w:spacing w:val="-3"/>
        </w:rPr>
        <w:t xml:space="preserve"> </w:t>
      </w:r>
      <w:r>
        <w:t>weeks</w:t>
      </w:r>
      <w:r>
        <w:rPr>
          <w:spacing w:val="-4"/>
        </w:rPr>
        <w:t xml:space="preserve"> </w:t>
      </w:r>
      <w:r>
        <w:t>following</w:t>
      </w:r>
      <w:r>
        <w:rPr>
          <w:spacing w:val="-3"/>
        </w:rPr>
        <w:t xml:space="preserve"> </w:t>
      </w:r>
      <w:r>
        <w:t>the</w:t>
      </w:r>
      <w:r>
        <w:rPr>
          <w:spacing w:val="-4"/>
        </w:rPr>
        <w:t xml:space="preserve"> </w:t>
      </w:r>
      <w:r>
        <w:t>publication</w:t>
      </w:r>
      <w:r>
        <w:rPr>
          <w:spacing w:val="-3"/>
        </w:rPr>
        <w:t xml:space="preserve"> </w:t>
      </w:r>
      <w:r>
        <w:t>of</w:t>
      </w:r>
      <w:r>
        <w:rPr>
          <w:spacing w:val="-4"/>
        </w:rPr>
        <w:t xml:space="preserve"> </w:t>
      </w:r>
      <w:r>
        <w:t>the</w:t>
      </w:r>
      <w:r>
        <w:rPr>
          <w:spacing w:val="-4"/>
        </w:rPr>
        <w:t xml:space="preserve"> </w:t>
      </w:r>
      <w:r>
        <w:t>First</w:t>
      </w:r>
      <w:r>
        <w:rPr>
          <w:spacing w:val="-2"/>
        </w:rPr>
        <w:t xml:space="preserve"> </w:t>
      </w:r>
      <w:r>
        <w:t>Final</w:t>
      </w:r>
      <w:r>
        <w:rPr>
          <w:spacing w:val="-5"/>
        </w:rPr>
        <w:t xml:space="preserve"> </w:t>
      </w:r>
      <w:r>
        <w:t>Disclosure, interestingly,</w:t>
      </w:r>
      <w:r>
        <w:rPr>
          <w:spacing w:val="-1"/>
        </w:rPr>
        <w:t xml:space="preserve"> </w:t>
      </w:r>
      <w:r>
        <w:t xml:space="preserve">another final disclosure report was published on the Ministry’s website, </w:t>
      </w:r>
      <w:r>
        <w:rPr>
          <w:i/>
        </w:rPr>
        <w:t>i.e.</w:t>
      </w:r>
      <w:r>
        <w:t>, the Revised Final Disclosure.</w:t>
      </w:r>
      <w:r>
        <w:rPr>
          <w:spacing w:val="-7"/>
        </w:rPr>
        <w:t xml:space="preserve"> </w:t>
      </w:r>
      <w:r>
        <w:t>Apparently,</w:t>
      </w:r>
      <w:r>
        <w:rPr>
          <w:spacing w:val="-6"/>
        </w:rPr>
        <w:t xml:space="preserve"> </w:t>
      </w:r>
      <w:r>
        <w:t>upon</w:t>
      </w:r>
      <w:r>
        <w:rPr>
          <w:spacing w:val="-7"/>
        </w:rPr>
        <w:t xml:space="preserve"> </w:t>
      </w:r>
      <w:r>
        <w:t>having</w:t>
      </w:r>
      <w:r>
        <w:rPr>
          <w:spacing w:val="-7"/>
        </w:rPr>
        <w:t xml:space="preserve"> </w:t>
      </w:r>
      <w:r>
        <w:t>comments</w:t>
      </w:r>
      <w:r>
        <w:rPr>
          <w:spacing w:val="-4"/>
        </w:rPr>
        <w:t xml:space="preserve"> </w:t>
      </w:r>
      <w:r>
        <w:t>raised</w:t>
      </w:r>
      <w:r>
        <w:rPr>
          <w:spacing w:val="-5"/>
        </w:rPr>
        <w:t xml:space="preserve"> </w:t>
      </w:r>
      <w:r>
        <w:t>by</w:t>
      </w:r>
      <w:r>
        <w:rPr>
          <w:spacing w:val="-7"/>
        </w:rPr>
        <w:t xml:space="preserve"> </w:t>
      </w:r>
      <w:r>
        <w:t>the</w:t>
      </w:r>
      <w:r>
        <w:rPr>
          <w:spacing w:val="-6"/>
        </w:rPr>
        <w:t xml:space="preserve"> </w:t>
      </w:r>
      <w:r>
        <w:t>applicants,</w:t>
      </w:r>
      <w:r>
        <w:rPr>
          <w:spacing w:val="-6"/>
        </w:rPr>
        <w:t xml:space="preserve"> </w:t>
      </w:r>
      <w:r>
        <w:t>the</w:t>
      </w:r>
      <w:r>
        <w:rPr>
          <w:spacing w:val="-6"/>
        </w:rPr>
        <w:t xml:space="preserve"> </w:t>
      </w:r>
      <w:r>
        <w:t>dumping</w:t>
      </w:r>
      <w:r>
        <w:rPr>
          <w:spacing w:val="-7"/>
        </w:rPr>
        <w:t xml:space="preserve"> </w:t>
      </w:r>
      <w:r>
        <w:t>margin calculation was modified on the basis that the prices of the imports from India differ significantly throughout the IP and that a comparison of a normal value established on a weighted average basis and prices of individual export transactions is required within the framework of Article 11 of the Regulation and Article 2.4.2 of the Agreement on Implementation of Article VI of the General Agreement on Tariffs and Trade 1994 (“</w:t>
      </w:r>
      <w:r>
        <w:rPr>
          <w:b/>
        </w:rPr>
        <w:t>Anti- Dumping Agreement</w:t>
      </w:r>
      <w:r>
        <w:t>”).</w:t>
      </w:r>
    </w:p>
    <w:p w14:paraId="79DCA8D6" w14:textId="77777777" w:rsidR="00EE37F9" w:rsidRDefault="00C7092E">
      <w:pPr>
        <w:pStyle w:val="GvdeMetni"/>
        <w:spacing w:before="242" w:line="276" w:lineRule="auto"/>
        <w:ind w:left="140" w:right="113"/>
        <w:jc w:val="both"/>
      </w:pPr>
      <w:r>
        <w:t xml:space="preserve">While concluding so, the Revised Final Disclosure relies on the analysis of </w:t>
      </w:r>
      <w:proofErr w:type="spellStart"/>
      <w:r>
        <w:t>Rubfila’s</w:t>
      </w:r>
      <w:proofErr w:type="spellEnd"/>
      <w:r>
        <w:t xml:space="preserve"> export prices following the views expressed by the domestic industry. As a result of its evaluation, the objections raised by the domestic industry regarding the calculation were found reasonable and it was determined that the export prices of </w:t>
      </w:r>
      <w:proofErr w:type="spellStart"/>
      <w:r>
        <w:t>Rubfila</w:t>
      </w:r>
      <w:proofErr w:type="spellEnd"/>
      <w:r>
        <w:t xml:space="preserve"> varied significantly throughout</w:t>
      </w:r>
      <w:r>
        <w:rPr>
          <w:spacing w:val="-6"/>
        </w:rPr>
        <w:t xml:space="preserve"> </w:t>
      </w:r>
      <w:r>
        <w:t>the</w:t>
      </w:r>
      <w:r>
        <w:rPr>
          <w:spacing w:val="-6"/>
        </w:rPr>
        <w:t xml:space="preserve"> </w:t>
      </w:r>
      <w:r>
        <w:t>IP.</w:t>
      </w:r>
      <w:r>
        <w:rPr>
          <w:spacing w:val="-6"/>
        </w:rPr>
        <w:t xml:space="preserve"> </w:t>
      </w:r>
      <w:r>
        <w:t>Accordingly,</w:t>
      </w:r>
      <w:r>
        <w:rPr>
          <w:spacing w:val="-6"/>
        </w:rPr>
        <w:t xml:space="preserve"> </w:t>
      </w:r>
      <w:r>
        <w:t>since</w:t>
      </w:r>
      <w:r>
        <w:rPr>
          <w:spacing w:val="-8"/>
        </w:rPr>
        <w:t xml:space="preserve"> </w:t>
      </w:r>
      <w:r>
        <w:t>the</w:t>
      </w:r>
      <w:r>
        <w:rPr>
          <w:spacing w:val="-6"/>
        </w:rPr>
        <w:t xml:space="preserve"> </w:t>
      </w:r>
      <w:r>
        <w:t>method</w:t>
      </w:r>
      <w:r>
        <w:rPr>
          <w:spacing w:val="-8"/>
        </w:rPr>
        <w:t xml:space="preserve"> </w:t>
      </w:r>
      <w:r>
        <w:t>of</w:t>
      </w:r>
      <w:r>
        <w:rPr>
          <w:spacing w:val="-5"/>
        </w:rPr>
        <w:t xml:space="preserve"> </w:t>
      </w:r>
      <w:r>
        <w:t>comparing</w:t>
      </w:r>
      <w:r>
        <w:rPr>
          <w:spacing w:val="-9"/>
        </w:rPr>
        <w:t xml:space="preserve"> </w:t>
      </w:r>
      <w:r>
        <w:t>the</w:t>
      </w:r>
      <w:r>
        <w:rPr>
          <w:spacing w:val="-8"/>
        </w:rPr>
        <w:t xml:space="preserve"> </w:t>
      </w:r>
      <w:r>
        <w:t>weighted</w:t>
      </w:r>
      <w:r>
        <w:rPr>
          <w:spacing w:val="-5"/>
        </w:rPr>
        <w:t xml:space="preserve"> </w:t>
      </w:r>
      <w:r>
        <w:t>average</w:t>
      </w:r>
      <w:r>
        <w:rPr>
          <w:spacing w:val="-8"/>
        </w:rPr>
        <w:t xml:space="preserve"> </w:t>
      </w:r>
      <w:r>
        <w:t>normal value with the weighted average of the export prices was insufficient to determine the dumping arising from the price differentiation throughout the IP, the dumping margin was recalculated by comparing the weighted average normal value with the export prices on a transaction basis in accordance with Article 11 of the Regulation in order to fully and thoroughly reveal the magnitude of dumping and to reveal targeted dumping, if any.</w:t>
      </w:r>
    </w:p>
    <w:p w14:paraId="21462423" w14:textId="77777777" w:rsidR="00EE37F9" w:rsidRDefault="00EE37F9">
      <w:pPr>
        <w:spacing w:line="276" w:lineRule="auto"/>
        <w:jc w:val="both"/>
        <w:sectPr w:rsidR="00EE37F9">
          <w:footerReference w:type="default" r:id="rId8"/>
          <w:pgSz w:w="11910" w:h="16850"/>
          <w:pgMar w:top="1720" w:right="1320" w:bottom="840" w:left="1300" w:header="0" w:footer="652" w:gutter="0"/>
          <w:pgNumType w:start="2"/>
          <w:cols w:space="720"/>
        </w:sectPr>
      </w:pPr>
    </w:p>
    <w:p w14:paraId="1AE51913" w14:textId="77777777" w:rsidR="00EE37F9" w:rsidRDefault="00C7092E">
      <w:pPr>
        <w:pStyle w:val="GvdeMetni"/>
        <w:spacing w:before="24" w:line="276" w:lineRule="auto"/>
        <w:ind w:left="140" w:right="114"/>
        <w:jc w:val="both"/>
      </w:pPr>
      <w:r>
        <w:lastRenderedPageBreak/>
        <w:t>By</w:t>
      </w:r>
      <w:r>
        <w:rPr>
          <w:spacing w:val="-14"/>
        </w:rPr>
        <w:t xml:space="preserve"> </w:t>
      </w:r>
      <w:r>
        <w:t>employing</w:t>
      </w:r>
      <w:r>
        <w:rPr>
          <w:spacing w:val="-14"/>
        </w:rPr>
        <w:t xml:space="preserve"> </w:t>
      </w:r>
      <w:r>
        <w:t>the</w:t>
      </w:r>
      <w:r>
        <w:rPr>
          <w:spacing w:val="-12"/>
        </w:rPr>
        <w:t xml:space="preserve"> </w:t>
      </w:r>
      <w:r>
        <w:t>abovementioned</w:t>
      </w:r>
      <w:r>
        <w:rPr>
          <w:spacing w:val="-10"/>
        </w:rPr>
        <w:t xml:space="preserve"> </w:t>
      </w:r>
      <w:r>
        <w:t>method</w:t>
      </w:r>
      <w:r>
        <w:rPr>
          <w:spacing w:val="-12"/>
        </w:rPr>
        <w:t xml:space="preserve"> </w:t>
      </w:r>
      <w:r>
        <w:t>for</w:t>
      </w:r>
      <w:r>
        <w:rPr>
          <w:spacing w:val="-12"/>
        </w:rPr>
        <w:t xml:space="preserve"> </w:t>
      </w:r>
      <w:r>
        <w:t>calculating</w:t>
      </w:r>
      <w:r>
        <w:rPr>
          <w:spacing w:val="-14"/>
        </w:rPr>
        <w:t xml:space="preserve"> </w:t>
      </w:r>
      <w:r>
        <w:t>the</w:t>
      </w:r>
      <w:r>
        <w:rPr>
          <w:spacing w:val="-13"/>
        </w:rPr>
        <w:t xml:space="preserve"> </w:t>
      </w:r>
      <w:r>
        <w:t>dumping</w:t>
      </w:r>
      <w:r>
        <w:rPr>
          <w:spacing w:val="-14"/>
        </w:rPr>
        <w:t xml:space="preserve"> </w:t>
      </w:r>
      <w:r>
        <w:t>margin</w:t>
      </w:r>
      <w:r>
        <w:rPr>
          <w:spacing w:val="-2"/>
        </w:rPr>
        <w:t xml:space="preserve"> </w:t>
      </w:r>
      <w:r>
        <w:t>in</w:t>
      </w:r>
      <w:r>
        <w:rPr>
          <w:spacing w:val="-13"/>
        </w:rPr>
        <w:t xml:space="preserve"> </w:t>
      </w:r>
      <w:r>
        <w:t>the</w:t>
      </w:r>
      <w:r>
        <w:rPr>
          <w:spacing w:val="-12"/>
        </w:rPr>
        <w:t xml:space="preserve"> </w:t>
      </w:r>
      <w:r>
        <w:t xml:space="preserve">Revised Final Disclosure, a rate of 7.1% of the CIF value was reached for </w:t>
      </w:r>
      <w:proofErr w:type="spellStart"/>
      <w:r>
        <w:t>Rubfila</w:t>
      </w:r>
      <w:proofErr w:type="spellEnd"/>
      <w:r>
        <w:t xml:space="preserve"> and 12.3% of the CIF value was determined for others.</w:t>
      </w:r>
    </w:p>
    <w:p w14:paraId="61FFB6E1" w14:textId="77777777" w:rsidR="00EE37F9" w:rsidRDefault="00C7092E">
      <w:pPr>
        <w:pStyle w:val="GvdeMetni"/>
        <w:spacing w:before="239" w:line="276" w:lineRule="auto"/>
        <w:ind w:left="140" w:right="112"/>
        <w:jc w:val="both"/>
      </w:pPr>
      <w:r>
        <w:t>Both within the scope of the Revised Final Disclosure as well as the previous case-law examples provided below, the dumping margin calculation methods were justified by referencing the national legislation, namely Article 11 of the Regulation stating that:</w:t>
      </w:r>
    </w:p>
    <w:p w14:paraId="2A17D2CC" w14:textId="77777777" w:rsidR="00EE37F9" w:rsidRDefault="00C7092E">
      <w:pPr>
        <w:spacing w:before="240" w:line="276" w:lineRule="auto"/>
        <w:ind w:left="706" w:right="683"/>
        <w:jc w:val="both"/>
        <w:rPr>
          <w:i/>
        </w:rPr>
      </w:pPr>
      <w:r>
        <w:rPr>
          <w:i/>
        </w:rPr>
        <w:t>“Dumping margin shall be</w:t>
      </w:r>
      <w:r>
        <w:rPr>
          <w:i/>
          <w:spacing w:val="-1"/>
        </w:rPr>
        <w:t xml:space="preserve"> </w:t>
      </w:r>
      <w:r>
        <w:rPr>
          <w:i/>
        </w:rPr>
        <w:t xml:space="preserve">established by a comparison of normal value and export price on a weighted average or transaction basis. However, </w:t>
      </w:r>
      <w:r>
        <w:rPr>
          <w:b/>
          <w:i/>
          <w:u w:val="single"/>
        </w:rPr>
        <w:t>a normal value established on a</w:t>
      </w:r>
      <w:r>
        <w:rPr>
          <w:b/>
          <w:i/>
        </w:rPr>
        <w:t xml:space="preserve"> </w:t>
      </w:r>
      <w:r>
        <w:rPr>
          <w:b/>
          <w:i/>
          <w:u w:val="single"/>
        </w:rPr>
        <w:t>weighted</w:t>
      </w:r>
      <w:r>
        <w:rPr>
          <w:b/>
          <w:i/>
          <w:spacing w:val="-5"/>
          <w:u w:val="single"/>
        </w:rPr>
        <w:t xml:space="preserve"> </w:t>
      </w:r>
      <w:r>
        <w:rPr>
          <w:b/>
          <w:i/>
          <w:u w:val="single"/>
        </w:rPr>
        <w:t>average</w:t>
      </w:r>
      <w:r>
        <w:rPr>
          <w:b/>
          <w:i/>
          <w:spacing w:val="-6"/>
          <w:u w:val="single"/>
        </w:rPr>
        <w:t xml:space="preserve"> </w:t>
      </w:r>
      <w:r>
        <w:rPr>
          <w:b/>
          <w:i/>
          <w:u w:val="single"/>
        </w:rPr>
        <w:t>basis</w:t>
      </w:r>
      <w:r>
        <w:rPr>
          <w:b/>
          <w:i/>
          <w:spacing w:val="-4"/>
          <w:u w:val="single"/>
        </w:rPr>
        <w:t xml:space="preserve"> </w:t>
      </w:r>
      <w:r>
        <w:rPr>
          <w:b/>
          <w:i/>
          <w:u w:val="single"/>
        </w:rPr>
        <w:t>may</w:t>
      </w:r>
      <w:r>
        <w:rPr>
          <w:b/>
          <w:i/>
          <w:spacing w:val="-4"/>
          <w:u w:val="single"/>
        </w:rPr>
        <w:t xml:space="preserve"> </w:t>
      </w:r>
      <w:r>
        <w:rPr>
          <w:b/>
          <w:i/>
          <w:u w:val="single"/>
        </w:rPr>
        <w:t>be</w:t>
      </w:r>
      <w:r>
        <w:rPr>
          <w:b/>
          <w:i/>
          <w:spacing w:val="-6"/>
          <w:u w:val="single"/>
        </w:rPr>
        <w:t xml:space="preserve"> </w:t>
      </w:r>
      <w:r>
        <w:rPr>
          <w:b/>
          <w:i/>
          <w:u w:val="single"/>
        </w:rPr>
        <w:t>compared</w:t>
      </w:r>
      <w:r>
        <w:rPr>
          <w:b/>
          <w:i/>
          <w:spacing w:val="-5"/>
          <w:u w:val="single"/>
        </w:rPr>
        <w:t xml:space="preserve"> </w:t>
      </w:r>
      <w:r>
        <w:rPr>
          <w:b/>
          <w:i/>
          <w:u w:val="single"/>
        </w:rPr>
        <w:t>to</w:t>
      </w:r>
      <w:r>
        <w:rPr>
          <w:b/>
          <w:i/>
          <w:spacing w:val="-4"/>
          <w:u w:val="single"/>
        </w:rPr>
        <w:t xml:space="preserve"> </w:t>
      </w:r>
      <w:r>
        <w:rPr>
          <w:b/>
          <w:i/>
          <w:u w:val="single"/>
        </w:rPr>
        <w:t>prices</w:t>
      </w:r>
      <w:r>
        <w:rPr>
          <w:b/>
          <w:i/>
          <w:spacing w:val="-6"/>
          <w:u w:val="single"/>
        </w:rPr>
        <w:t xml:space="preserve"> </w:t>
      </w:r>
      <w:r>
        <w:rPr>
          <w:b/>
          <w:i/>
          <w:u w:val="single"/>
        </w:rPr>
        <w:t>of</w:t>
      </w:r>
      <w:r>
        <w:rPr>
          <w:b/>
          <w:i/>
          <w:spacing w:val="-3"/>
          <w:u w:val="single"/>
        </w:rPr>
        <w:t xml:space="preserve"> </w:t>
      </w:r>
      <w:r>
        <w:rPr>
          <w:b/>
          <w:i/>
          <w:u w:val="single"/>
        </w:rPr>
        <w:t>individual</w:t>
      </w:r>
      <w:r>
        <w:rPr>
          <w:b/>
          <w:i/>
          <w:spacing w:val="-3"/>
          <w:u w:val="single"/>
        </w:rPr>
        <w:t xml:space="preserve"> </w:t>
      </w:r>
      <w:r>
        <w:rPr>
          <w:b/>
          <w:i/>
          <w:u w:val="single"/>
        </w:rPr>
        <w:t>export</w:t>
      </w:r>
      <w:r>
        <w:rPr>
          <w:b/>
          <w:i/>
          <w:spacing w:val="-5"/>
          <w:u w:val="single"/>
        </w:rPr>
        <w:t xml:space="preserve"> </w:t>
      </w:r>
      <w:r>
        <w:rPr>
          <w:b/>
          <w:i/>
          <w:u w:val="single"/>
        </w:rPr>
        <w:t>transactions,</w:t>
      </w:r>
      <w:r>
        <w:rPr>
          <w:b/>
          <w:i/>
          <w:spacing w:val="-5"/>
          <w:u w:val="single"/>
        </w:rPr>
        <w:t xml:space="preserve"> </w:t>
      </w:r>
      <w:r>
        <w:rPr>
          <w:b/>
          <w:i/>
          <w:u w:val="single"/>
        </w:rPr>
        <w:t>if</w:t>
      </w:r>
      <w:r>
        <w:rPr>
          <w:b/>
          <w:i/>
        </w:rPr>
        <w:t xml:space="preserve"> </w:t>
      </w:r>
      <w:r>
        <w:rPr>
          <w:b/>
          <w:i/>
          <w:u w:val="single"/>
        </w:rPr>
        <w:t>there is a pattern of export prices which differs significantly among different</w:t>
      </w:r>
      <w:r>
        <w:rPr>
          <w:b/>
          <w:i/>
        </w:rPr>
        <w:t xml:space="preserve"> </w:t>
      </w:r>
      <w:r>
        <w:rPr>
          <w:b/>
          <w:i/>
          <w:u w:val="single"/>
        </w:rPr>
        <w:t>purchasers, regions or time periods, and if the comparison on weighted average or</w:t>
      </w:r>
      <w:r>
        <w:rPr>
          <w:b/>
          <w:i/>
        </w:rPr>
        <w:t xml:space="preserve"> </w:t>
      </w:r>
      <w:r>
        <w:rPr>
          <w:b/>
          <w:i/>
          <w:u w:val="single"/>
        </w:rPr>
        <w:t xml:space="preserve">transaction basis would not reflect the full degree of dumping being </w:t>
      </w:r>
      <w:proofErr w:type="spellStart"/>
      <w:r>
        <w:rPr>
          <w:b/>
          <w:i/>
          <w:u w:val="single"/>
        </w:rPr>
        <w:t>practised</w:t>
      </w:r>
      <w:proofErr w:type="spellEnd"/>
      <w:r>
        <w:rPr>
          <w:b/>
          <w:i/>
          <w:u w:val="single"/>
        </w:rPr>
        <w:t>.</w:t>
      </w:r>
      <w:r>
        <w:rPr>
          <w:i/>
        </w:rPr>
        <w:t>”</w:t>
      </w:r>
    </w:p>
    <w:p w14:paraId="6EFE95A7" w14:textId="77777777" w:rsidR="00EE37F9" w:rsidRDefault="00C7092E">
      <w:pPr>
        <w:pStyle w:val="GvdeMetni"/>
        <w:spacing w:before="240" w:line="276" w:lineRule="auto"/>
        <w:ind w:left="140" w:right="116"/>
        <w:jc w:val="both"/>
      </w:pPr>
      <w:r>
        <w:t xml:space="preserve">In parallel, the second sentence of Article 2.4.2 of the Anti-Dumping Agreement also allows for the </w:t>
      </w:r>
      <w:proofErr w:type="spellStart"/>
      <w:r>
        <w:t>utilisation</w:t>
      </w:r>
      <w:proofErr w:type="spellEnd"/>
      <w:r>
        <w:t xml:space="preserve"> of such test, the only difference being the requirement of the provision of an explanation as to why the differences cannot be duly </w:t>
      </w:r>
      <w:proofErr w:type="gramStart"/>
      <w:r>
        <w:t>taken into account</w:t>
      </w:r>
      <w:proofErr w:type="gramEnd"/>
      <w:r>
        <w:t xml:space="preserve"> by the use of a weighted average-to-weighted average or transaction-to-transaction comparison:</w:t>
      </w:r>
    </w:p>
    <w:p w14:paraId="37C014B1" w14:textId="77777777" w:rsidR="00EE37F9" w:rsidRDefault="00C7092E">
      <w:pPr>
        <w:spacing w:before="241" w:line="276" w:lineRule="auto"/>
        <w:ind w:left="706" w:right="682"/>
        <w:jc w:val="both"/>
        <w:rPr>
          <w:i/>
        </w:rPr>
      </w:pPr>
      <w:r>
        <w:rPr>
          <w:i/>
        </w:rPr>
        <w:t>“A normal value established on a weighted average basis may be compared to prices of individual</w:t>
      </w:r>
      <w:r>
        <w:rPr>
          <w:i/>
          <w:spacing w:val="-9"/>
        </w:rPr>
        <w:t xml:space="preserve"> </w:t>
      </w:r>
      <w:r>
        <w:rPr>
          <w:i/>
        </w:rPr>
        <w:t>export</w:t>
      </w:r>
      <w:r>
        <w:rPr>
          <w:i/>
          <w:spacing w:val="-8"/>
        </w:rPr>
        <w:t xml:space="preserve"> </w:t>
      </w:r>
      <w:r>
        <w:rPr>
          <w:i/>
        </w:rPr>
        <w:t>transactions</w:t>
      </w:r>
      <w:r>
        <w:rPr>
          <w:i/>
          <w:spacing w:val="-9"/>
        </w:rPr>
        <w:t xml:space="preserve"> </w:t>
      </w:r>
      <w:r>
        <w:rPr>
          <w:i/>
        </w:rPr>
        <w:t>if</w:t>
      </w:r>
      <w:r>
        <w:rPr>
          <w:i/>
          <w:spacing w:val="-9"/>
        </w:rPr>
        <w:t xml:space="preserve"> </w:t>
      </w:r>
      <w:r>
        <w:rPr>
          <w:i/>
        </w:rPr>
        <w:t>the</w:t>
      </w:r>
      <w:r>
        <w:rPr>
          <w:i/>
          <w:spacing w:val="-9"/>
        </w:rPr>
        <w:t xml:space="preserve"> </w:t>
      </w:r>
      <w:r>
        <w:rPr>
          <w:i/>
        </w:rPr>
        <w:t>authorities</w:t>
      </w:r>
      <w:r>
        <w:rPr>
          <w:i/>
          <w:spacing w:val="-9"/>
        </w:rPr>
        <w:t xml:space="preserve"> </w:t>
      </w:r>
      <w:r>
        <w:rPr>
          <w:i/>
        </w:rPr>
        <w:t>find</w:t>
      </w:r>
      <w:r>
        <w:rPr>
          <w:i/>
          <w:spacing w:val="-9"/>
        </w:rPr>
        <w:t xml:space="preserve"> </w:t>
      </w:r>
      <w:r>
        <w:rPr>
          <w:i/>
        </w:rPr>
        <w:t>a</w:t>
      </w:r>
      <w:r>
        <w:rPr>
          <w:i/>
          <w:spacing w:val="-9"/>
        </w:rPr>
        <w:t xml:space="preserve"> </w:t>
      </w:r>
      <w:r>
        <w:rPr>
          <w:i/>
        </w:rPr>
        <w:t>pattern</w:t>
      </w:r>
      <w:r>
        <w:rPr>
          <w:i/>
          <w:spacing w:val="-9"/>
        </w:rPr>
        <w:t xml:space="preserve"> </w:t>
      </w:r>
      <w:r>
        <w:rPr>
          <w:i/>
        </w:rPr>
        <w:t>of</w:t>
      </w:r>
      <w:r>
        <w:rPr>
          <w:i/>
          <w:spacing w:val="-9"/>
        </w:rPr>
        <w:t xml:space="preserve"> </w:t>
      </w:r>
      <w:r>
        <w:rPr>
          <w:i/>
        </w:rPr>
        <w:t>export</w:t>
      </w:r>
      <w:r>
        <w:rPr>
          <w:i/>
          <w:spacing w:val="-8"/>
        </w:rPr>
        <w:t xml:space="preserve"> </w:t>
      </w:r>
      <w:r>
        <w:rPr>
          <w:i/>
        </w:rPr>
        <w:t>prices</w:t>
      </w:r>
      <w:r>
        <w:rPr>
          <w:i/>
          <w:spacing w:val="-9"/>
        </w:rPr>
        <w:t xml:space="preserve"> </w:t>
      </w:r>
      <w:r>
        <w:rPr>
          <w:i/>
        </w:rPr>
        <w:t>which</w:t>
      </w:r>
      <w:r>
        <w:rPr>
          <w:i/>
          <w:spacing w:val="-9"/>
        </w:rPr>
        <w:t xml:space="preserve"> </w:t>
      </w:r>
      <w:r>
        <w:rPr>
          <w:i/>
        </w:rPr>
        <w:t>differ significantly</w:t>
      </w:r>
      <w:r>
        <w:rPr>
          <w:i/>
          <w:spacing w:val="-5"/>
        </w:rPr>
        <w:t xml:space="preserve"> </w:t>
      </w:r>
      <w:r>
        <w:rPr>
          <w:i/>
        </w:rPr>
        <w:t>among</w:t>
      </w:r>
      <w:r>
        <w:rPr>
          <w:i/>
          <w:spacing w:val="-6"/>
        </w:rPr>
        <w:t xml:space="preserve"> </w:t>
      </w:r>
      <w:r>
        <w:rPr>
          <w:i/>
        </w:rPr>
        <w:t>different</w:t>
      </w:r>
      <w:r>
        <w:rPr>
          <w:i/>
          <w:spacing w:val="-4"/>
        </w:rPr>
        <w:t xml:space="preserve"> </w:t>
      </w:r>
      <w:r>
        <w:rPr>
          <w:i/>
        </w:rPr>
        <w:t>purchasers,</w:t>
      </w:r>
      <w:r>
        <w:rPr>
          <w:i/>
          <w:spacing w:val="-6"/>
        </w:rPr>
        <w:t xml:space="preserve"> </w:t>
      </w:r>
      <w:r>
        <w:rPr>
          <w:i/>
        </w:rPr>
        <w:t>regions</w:t>
      </w:r>
      <w:r>
        <w:rPr>
          <w:i/>
          <w:spacing w:val="-6"/>
        </w:rPr>
        <w:t xml:space="preserve"> </w:t>
      </w:r>
      <w:r>
        <w:rPr>
          <w:i/>
        </w:rPr>
        <w:t>or</w:t>
      </w:r>
      <w:r>
        <w:rPr>
          <w:i/>
          <w:spacing w:val="-6"/>
        </w:rPr>
        <w:t xml:space="preserve"> </w:t>
      </w:r>
      <w:r>
        <w:rPr>
          <w:i/>
        </w:rPr>
        <w:t>time</w:t>
      </w:r>
      <w:r>
        <w:rPr>
          <w:i/>
          <w:spacing w:val="-4"/>
        </w:rPr>
        <w:t xml:space="preserve"> </w:t>
      </w:r>
      <w:r>
        <w:rPr>
          <w:i/>
        </w:rPr>
        <w:t>periods,</w:t>
      </w:r>
      <w:r>
        <w:rPr>
          <w:i/>
          <w:spacing w:val="-4"/>
        </w:rPr>
        <w:t xml:space="preserve"> </w:t>
      </w:r>
      <w:r>
        <w:rPr>
          <w:i/>
        </w:rPr>
        <w:t>and</w:t>
      </w:r>
      <w:r>
        <w:rPr>
          <w:i/>
          <w:spacing w:val="-5"/>
        </w:rPr>
        <w:t xml:space="preserve"> </w:t>
      </w:r>
      <w:r>
        <w:rPr>
          <w:i/>
        </w:rPr>
        <w:t>if</w:t>
      </w:r>
      <w:r>
        <w:rPr>
          <w:i/>
          <w:spacing w:val="-5"/>
        </w:rPr>
        <w:t xml:space="preserve"> </w:t>
      </w:r>
      <w:r>
        <w:rPr>
          <w:i/>
        </w:rPr>
        <w:t>an</w:t>
      </w:r>
      <w:r>
        <w:rPr>
          <w:i/>
          <w:spacing w:val="-5"/>
        </w:rPr>
        <w:t xml:space="preserve"> </w:t>
      </w:r>
      <w:r>
        <w:rPr>
          <w:i/>
        </w:rPr>
        <w:t>explanation</w:t>
      </w:r>
      <w:r>
        <w:rPr>
          <w:i/>
          <w:spacing w:val="-5"/>
        </w:rPr>
        <w:t xml:space="preserve"> </w:t>
      </w:r>
      <w:r>
        <w:rPr>
          <w:i/>
        </w:rPr>
        <w:t xml:space="preserve">is provided as to why such differences cannot be taken into account appropriately by the use of a weighted average-to-weighted average or transaction-to-transaction </w:t>
      </w:r>
      <w:r>
        <w:rPr>
          <w:i/>
          <w:spacing w:val="-2"/>
        </w:rPr>
        <w:t>comparison.”</w:t>
      </w:r>
    </w:p>
    <w:p w14:paraId="5EE688DD" w14:textId="77777777" w:rsidR="00EE37F9" w:rsidRDefault="00C7092E">
      <w:pPr>
        <w:pStyle w:val="GvdeMetni"/>
        <w:spacing w:before="241" w:line="276" w:lineRule="auto"/>
        <w:ind w:left="140" w:right="112"/>
        <w:jc w:val="both"/>
      </w:pPr>
      <w:r>
        <w:t>Although there being a limited number of and relatively older examples, the Ministry, in the past,</w:t>
      </w:r>
      <w:r>
        <w:rPr>
          <w:spacing w:val="-11"/>
        </w:rPr>
        <w:t xml:space="preserve"> </w:t>
      </w:r>
      <w:r>
        <w:t>compared</w:t>
      </w:r>
      <w:r>
        <w:rPr>
          <w:spacing w:val="-10"/>
        </w:rPr>
        <w:t xml:space="preserve"> </w:t>
      </w:r>
      <w:r>
        <w:t>weighted</w:t>
      </w:r>
      <w:r>
        <w:rPr>
          <w:spacing w:val="-10"/>
        </w:rPr>
        <w:t xml:space="preserve"> </w:t>
      </w:r>
      <w:r>
        <w:t>average</w:t>
      </w:r>
      <w:r>
        <w:rPr>
          <w:spacing w:val="-13"/>
        </w:rPr>
        <w:t xml:space="preserve"> </w:t>
      </w:r>
      <w:r>
        <w:t>normal</w:t>
      </w:r>
      <w:r>
        <w:rPr>
          <w:spacing w:val="-11"/>
        </w:rPr>
        <w:t xml:space="preserve"> </w:t>
      </w:r>
      <w:r>
        <w:t>values</w:t>
      </w:r>
      <w:r>
        <w:rPr>
          <w:spacing w:val="-14"/>
        </w:rPr>
        <w:t xml:space="preserve"> </w:t>
      </w:r>
      <w:r>
        <w:t>with</w:t>
      </w:r>
      <w:r>
        <w:rPr>
          <w:spacing w:val="-10"/>
        </w:rPr>
        <w:t xml:space="preserve"> </w:t>
      </w:r>
      <w:r>
        <w:t>prices</w:t>
      </w:r>
      <w:r>
        <w:rPr>
          <w:spacing w:val="-14"/>
        </w:rPr>
        <w:t xml:space="preserve"> </w:t>
      </w:r>
      <w:r>
        <w:t>of</w:t>
      </w:r>
      <w:r>
        <w:rPr>
          <w:spacing w:val="-10"/>
        </w:rPr>
        <w:t xml:space="preserve"> </w:t>
      </w:r>
      <w:r>
        <w:t>individual</w:t>
      </w:r>
      <w:r>
        <w:rPr>
          <w:spacing w:val="-13"/>
        </w:rPr>
        <w:t xml:space="preserve"> </w:t>
      </w:r>
      <w:r>
        <w:t>export</w:t>
      </w:r>
      <w:r>
        <w:rPr>
          <w:spacing w:val="-13"/>
        </w:rPr>
        <w:t xml:space="preserve"> </w:t>
      </w:r>
      <w:r>
        <w:t xml:space="preserve">transactions. The following exemplifies the Ministry’s past practice </w:t>
      </w:r>
      <w:proofErr w:type="spellStart"/>
      <w:r>
        <w:t>utilising</w:t>
      </w:r>
      <w:proofErr w:type="spellEnd"/>
      <w:r>
        <w:t xml:space="preserve"> the method employed within the scope of the Revised Final Disclosure:</w:t>
      </w:r>
    </w:p>
    <w:p w14:paraId="4D1D79D3" w14:textId="77777777" w:rsidR="00EE37F9" w:rsidRDefault="00C7092E">
      <w:pPr>
        <w:pStyle w:val="GvdeMetni"/>
        <w:spacing w:before="241" w:line="276" w:lineRule="auto"/>
        <w:ind w:left="860" w:right="110" w:hanging="360"/>
        <w:jc w:val="both"/>
      </w:pPr>
      <w:r>
        <w:t>─</w:t>
      </w:r>
      <w:r>
        <w:rPr>
          <w:spacing w:val="40"/>
        </w:rPr>
        <w:t xml:space="preserve">  </w:t>
      </w:r>
      <w:r>
        <w:t>One</w:t>
      </w:r>
      <w:r>
        <w:rPr>
          <w:spacing w:val="-10"/>
        </w:rPr>
        <w:t xml:space="preserve"> </w:t>
      </w:r>
      <w:r>
        <w:t>example</w:t>
      </w:r>
      <w:r>
        <w:rPr>
          <w:spacing w:val="-12"/>
        </w:rPr>
        <w:t xml:space="preserve"> </w:t>
      </w:r>
      <w:r>
        <w:t>of</w:t>
      </w:r>
      <w:r>
        <w:rPr>
          <w:spacing w:val="-11"/>
        </w:rPr>
        <w:t xml:space="preserve"> </w:t>
      </w:r>
      <w:r>
        <w:t>this</w:t>
      </w:r>
      <w:r>
        <w:rPr>
          <w:spacing w:val="-10"/>
        </w:rPr>
        <w:t xml:space="preserve"> </w:t>
      </w:r>
      <w:r>
        <w:t>practice</w:t>
      </w:r>
      <w:r>
        <w:rPr>
          <w:spacing w:val="-7"/>
        </w:rPr>
        <w:t xml:space="preserve"> </w:t>
      </w:r>
      <w:r>
        <w:t>dates</w:t>
      </w:r>
      <w:r>
        <w:rPr>
          <w:spacing w:val="-10"/>
        </w:rPr>
        <w:t xml:space="preserve"> </w:t>
      </w:r>
      <w:r>
        <w:t>to</w:t>
      </w:r>
      <w:r>
        <w:rPr>
          <w:spacing w:val="-11"/>
        </w:rPr>
        <w:t xml:space="preserve"> </w:t>
      </w:r>
      <w:r>
        <w:t>2004,</w:t>
      </w:r>
      <w:r>
        <w:rPr>
          <w:spacing w:val="-10"/>
        </w:rPr>
        <w:t xml:space="preserve"> </w:t>
      </w:r>
      <w:r>
        <w:t>where</w:t>
      </w:r>
      <w:r>
        <w:rPr>
          <w:spacing w:val="-12"/>
        </w:rPr>
        <w:t xml:space="preserve"> </w:t>
      </w:r>
      <w:r>
        <w:t>the</w:t>
      </w:r>
      <w:r>
        <w:rPr>
          <w:spacing w:val="-12"/>
        </w:rPr>
        <w:t xml:space="preserve"> </w:t>
      </w:r>
      <w:r>
        <w:t>Ministry</w:t>
      </w:r>
      <w:r>
        <w:rPr>
          <w:spacing w:val="-8"/>
        </w:rPr>
        <w:t xml:space="preserve"> </w:t>
      </w:r>
      <w:r>
        <w:t>reviewed</w:t>
      </w:r>
      <w:r>
        <w:rPr>
          <w:spacing w:val="-11"/>
        </w:rPr>
        <w:t xml:space="preserve"> </w:t>
      </w:r>
      <w:r>
        <w:t>the</w:t>
      </w:r>
      <w:r>
        <w:rPr>
          <w:spacing w:val="-8"/>
        </w:rPr>
        <w:t xml:space="preserve"> </w:t>
      </w:r>
      <w:r>
        <w:t>dumping allegations</w:t>
      </w:r>
      <w:r>
        <w:rPr>
          <w:spacing w:val="-2"/>
        </w:rPr>
        <w:t xml:space="preserve"> </w:t>
      </w:r>
      <w:r>
        <w:t>of the</w:t>
      </w:r>
      <w:r>
        <w:rPr>
          <w:spacing w:val="-1"/>
        </w:rPr>
        <w:t xml:space="preserve"> </w:t>
      </w:r>
      <w:r>
        <w:t>same</w:t>
      </w:r>
      <w:r>
        <w:rPr>
          <w:spacing w:val="-1"/>
        </w:rPr>
        <w:t xml:space="preserve"> </w:t>
      </w:r>
      <w:proofErr w:type="spellStart"/>
      <w:r>
        <w:t>Elpa</w:t>
      </w:r>
      <w:proofErr w:type="spellEnd"/>
      <w:r>
        <w:rPr>
          <w:spacing w:val="-1"/>
        </w:rPr>
        <w:t xml:space="preserve"> </w:t>
      </w:r>
      <w:r>
        <w:t>and Şahin,</w:t>
      </w:r>
      <w:r>
        <w:rPr>
          <w:spacing w:val="-3"/>
        </w:rPr>
        <w:t xml:space="preserve"> </w:t>
      </w:r>
      <w:r>
        <w:t>the</w:t>
      </w:r>
      <w:r>
        <w:rPr>
          <w:spacing w:val="-1"/>
        </w:rPr>
        <w:t xml:space="preserve"> </w:t>
      </w:r>
      <w:r>
        <w:t>first as</w:t>
      </w:r>
      <w:r>
        <w:rPr>
          <w:spacing w:val="-4"/>
        </w:rPr>
        <w:t xml:space="preserve"> </w:t>
      </w:r>
      <w:r>
        <w:t>the</w:t>
      </w:r>
      <w:r>
        <w:rPr>
          <w:spacing w:val="-3"/>
        </w:rPr>
        <w:t xml:space="preserve"> </w:t>
      </w:r>
      <w:r>
        <w:t>applicant and</w:t>
      </w:r>
      <w:r>
        <w:rPr>
          <w:spacing w:val="-3"/>
        </w:rPr>
        <w:t xml:space="preserve"> </w:t>
      </w:r>
      <w:r>
        <w:t>the</w:t>
      </w:r>
      <w:r>
        <w:rPr>
          <w:spacing w:val="-4"/>
        </w:rPr>
        <w:t xml:space="preserve"> </w:t>
      </w:r>
      <w:r>
        <w:t>latter as</w:t>
      </w:r>
      <w:r>
        <w:rPr>
          <w:spacing w:val="-4"/>
        </w:rPr>
        <w:t xml:space="preserve"> </w:t>
      </w:r>
      <w:r>
        <w:t>one of the supporters of the application, into the imports of the concerned products defined above, this time originating in Malaysia</w:t>
      </w:r>
      <w:hyperlink w:anchor="_bookmark2" w:history="1">
        <w:r>
          <w:rPr>
            <w:vertAlign w:val="superscript"/>
          </w:rPr>
          <w:t>3</w:t>
        </w:r>
      </w:hyperlink>
      <w:r>
        <w:t>. The Ministry has, this time, also referenced the second sentence of Article 2.4.2</w:t>
      </w:r>
      <w:r>
        <w:rPr>
          <w:spacing w:val="-2"/>
        </w:rPr>
        <w:t xml:space="preserve"> </w:t>
      </w:r>
      <w:r>
        <w:t>of the Anti-Dumping Agreement, the reason</w:t>
      </w:r>
      <w:r>
        <w:rPr>
          <w:spacing w:val="6"/>
        </w:rPr>
        <w:t xml:space="preserve"> </w:t>
      </w:r>
      <w:r>
        <w:t>being</w:t>
      </w:r>
      <w:r>
        <w:rPr>
          <w:spacing w:val="7"/>
        </w:rPr>
        <w:t xml:space="preserve"> </w:t>
      </w:r>
      <w:r>
        <w:t>the</w:t>
      </w:r>
      <w:r>
        <w:rPr>
          <w:spacing w:val="7"/>
        </w:rPr>
        <w:t xml:space="preserve"> </w:t>
      </w:r>
      <w:r>
        <w:t>need</w:t>
      </w:r>
      <w:r>
        <w:rPr>
          <w:spacing w:val="6"/>
        </w:rPr>
        <w:t xml:space="preserve"> </w:t>
      </w:r>
      <w:r>
        <w:t>to</w:t>
      </w:r>
      <w:r>
        <w:rPr>
          <w:spacing w:val="9"/>
        </w:rPr>
        <w:t xml:space="preserve"> </w:t>
      </w:r>
      <w:r>
        <w:t>respond</w:t>
      </w:r>
      <w:r>
        <w:rPr>
          <w:spacing w:val="7"/>
        </w:rPr>
        <w:t xml:space="preserve"> </w:t>
      </w:r>
      <w:r>
        <w:t>the</w:t>
      </w:r>
      <w:r>
        <w:rPr>
          <w:spacing w:val="8"/>
        </w:rPr>
        <w:t xml:space="preserve"> </w:t>
      </w:r>
      <w:r>
        <w:t>Ministry</w:t>
      </w:r>
      <w:r>
        <w:rPr>
          <w:spacing w:val="7"/>
        </w:rPr>
        <w:t xml:space="preserve"> </w:t>
      </w:r>
      <w:r>
        <w:t>of</w:t>
      </w:r>
      <w:r>
        <w:rPr>
          <w:spacing w:val="8"/>
        </w:rPr>
        <w:t xml:space="preserve"> </w:t>
      </w:r>
      <w:r>
        <w:t>Investment,</w:t>
      </w:r>
      <w:r>
        <w:rPr>
          <w:spacing w:val="7"/>
        </w:rPr>
        <w:t xml:space="preserve"> </w:t>
      </w:r>
      <w:r>
        <w:t>Trade</w:t>
      </w:r>
      <w:r>
        <w:rPr>
          <w:spacing w:val="7"/>
        </w:rPr>
        <w:t xml:space="preserve"> </w:t>
      </w:r>
      <w:r>
        <w:t>and</w:t>
      </w:r>
      <w:r>
        <w:rPr>
          <w:spacing w:val="6"/>
        </w:rPr>
        <w:t xml:space="preserve"> </w:t>
      </w:r>
      <w:r>
        <w:t>Industry</w:t>
      </w:r>
      <w:r>
        <w:rPr>
          <w:spacing w:val="13"/>
        </w:rPr>
        <w:t xml:space="preserve"> </w:t>
      </w:r>
      <w:r>
        <w:rPr>
          <w:spacing w:val="-5"/>
        </w:rPr>
        <w:t>of</w:t>
      </w:r>
    </w:p>
    <w:p w14:paraId="7ED770EF" w14:textId="77777777" w:rsidR="00EE37F9" w:rsidRDefault="00EE37F9">
      <w:pPr>
        <w:pStyle w:val="GvdeMetni"/>
        <w:rPr>
          <w:sz w:val="20"/>
        </w:rPr>
      </w:pPr>
    </w:p>
    <w:p w14:paraId="2A14867F" w14:textId="77777777" w:rsidR="00EE37F9" w:rsidRDefault="00EE37F9">
      <w:pPr>
        <w:pStyle w:val="GvdeMetni"/>
        <w:rPr>
          <w:sz w:val="20"/>
        </w:rPr>
      </w:pPr>
    </w:p>
    <w:p w14:paraId="707891C5" w14:textId="77777777" w:rsidR="00EE37F9" w:rsidRDefault="00C7092E">
      <w:pPr>
        <w:pStyle w:val="GvdeMetni"/>
        <w:spacing w:before="12"/>
        <w:rPr>
          <w:sz w:val="20"/>
        </w:rPr>
      </w:pPr>
      <w:r>
        <w:rPr>
          <w:noProof/>
        </w:rPr>
        <mc:AlternateContent>
          <mc:Choice Requires="wps">
            <w:drawing>
              <wp:anchor distT="0" distB="0" distL="0" distR="0" simplePos="0" relativeHeight="487588864" behindDoc="1" locked="0" layoutInCell="1" allowOverlap="1" wp14:anchorId="0B8EA459" wp14:editId="7A43AC7E">
                <wp:simplePos x="0" y="0"/>
                <wp:positionH relativeFrom="page">
                  <wp:posOffset>914704</wp:posOffset>
                </wp:positionH>
                <wp:positionV relativeFrom="paragraph">
                  <wp:posOffset>177916</wp:posOffset>
                </wp:positionV>
                <wp:extent cx="182943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6CCC56" id="Graphic 5" o:spid="_x0000_s1026" style="position:absolute;margin-left:1in;margin-top:14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" path="m1829054,l,,,7619r1829054,l1829054,xe" fillcolor="black" stroked="f">
                <v:path arrowok="t"/>
                <w10:wrap type="topAndBottom" anchorx="page"/>
              </v:shape>
            </w:pict>
          </mc:Fallback>
        </mc:AlternateContent>
      </w:r>
    </w:p>
    <w:p w14:paraId="5C7D3863" w14:textId="77777777" w:rsidR="00EE37F9" w:rsidRDefault="00EE37F9">
      <w:pPr>
        <w:pStyle w:val="GvdeMetni"/>
        <w:spacing w:before="138"/>
        <w:rPr>
          <w:sz w:val="20"/>
        </w:rPr>
      </w:pPr>
    </w:p>
    <w:p w14:paraId="4AE917B0" w14:textId="77777777" w:rsidR="00EE37F9" w:rsidRDefault="00C7092E">
      <w:pPr>
        <w:spacing w:before="1"/>
        <w:ind w:left="140"/>
        <w:rPr>
          <w:sz w:val="20"/>
        </w:rPr>
      </w:pPr>
      <w:bookmarkStart w:id="2" w:name="_bookmark2"/>
      <w:bookmarkEnd w:id="2"/>
      <w:r>
        <w:rPr>
          <w:sz w:val="20"/>
          <w:vertAlign w:val="superscript"/>
        </w:rPr>
        <w:t>3</w:t>
      </w:r>
      <w:r>
        <w:rPr>
          <w:spacing w:val="22"/>
          <w:sz w:val="20"/>
        </w:rPr>
        <w:t xml:space="preserve"> </w:t>
      </w:r>
      <w:r>
        <w:rPr>
          <w:sz w:val="20"/>
        </w:rPr>
        <w:t>Communiqué</w:t>
      </w:r>
      <w:r>
        <w:rPr>
          <w:spacing w:val="22"/>
          <w:sz w:val="20"/>
        </w:rPr>
        <w:t xml:space="preserve"> </w:t>
      </w:r>
      <w:r>
        <w:rPr>
          <w:sz w:val="20"/>
        </w:rPr>
        <w:t>on</w:t>
      </w:r>
      <w:r>
        <w:rPr>
          <w:spacing w:val="24"/>
          <w:sz w:val="20"/>
        </w:rPr>
        <w:t xml:space="preserve"> </w:t>
      </w:r>
      <w:r>
        <w:rPr>
          <w:sz w:val="20"/>
        </w:rPr>
        <w:t>Prevention</w:t>
      </w:r>
      <w:r>
        <w:rPr>
          <w:spacing w:val="26"/>
          <w:sz w:val="20"/>
        </w:rPr>
        <w:t xml:space="preserve"> </w:t>
      </w:r>
      <w:r>
        <w:rPr>
          <w:sz w:val="20"/>
        </w:rPr>
        <w:t>of</w:t>
      </w:r>
      <w:r>
        <w:rPr>
          <w:spacing w:val="22"/>
          <w:sz w:val="20"/>
        </w:rPr>
        <w:t xml:space="preserve"> </w:t>
      </w:r>
      <w:r>
        <w:rPr>
          <w:sz w:val="20"/>
        </w:rPr>
        <w:t>Unfair</w:t>
      </w:r>
      <w:r>
        <w:rPr>
          <w:spacing w:val="25"/>
          <w:sz w:val="20"/>
        </w:rPr>
        <w:t xml:space="preserve"> </w:t>
      </w:r>
      <w:r>
        <w:rPr>
          <w:sz w:val="20"/>
        </w:rPr>
        <w:t>Competition</w:t>
      </w:r>
      <w:r>
        <w:rPr>
          <w:spacing w:val="24"/>
          <w:sz w:val="20"/>
        </w:rPr>
        <w:t xml:space="preserve"> </w:t>
      </w:r>
      <w:r>
        <w:rPr>
          <w:sz w:val="20"/>
        </w:rPr>
        <w:t>in</w:t>
      </w:r>
      <w:r>
        <w:rPr>
          <w:spacing w:val="23"/>
          <w:sz w:val="20"/>
        </w:rPr>
        <w:t xml:space="preserve"> </w:t>
      </w:r>
      <w:r>
        <w:rPr>
          <w:sz w:val="20"/>
        </w:rPr>
        <w:t>Imports</w:t>
      </w:r>
      <w:r>
        <w:rPr>
          <w:spacing w:val="24"/>
          <w:sz w:val="20"/>
        </w:rPr>
        <w:t xml:space="preserve"> </w:t>
      </w:r>
      <w:r>
        <w:rPr>
          <w:sz w:val="20"/>
        </w:rPr>
        <w:t>numbered</w:t>
      </w:r>
      <w:r>
        <w:rPr>
          <w:spacing w:val="24"/>
          <w:sz w:val="20"/>
        </w:rPr>
        <w:t xml:space="preserve"> </w:t>
      </w:r>
      <w:r>
        <w:rPr>
          <w:sz w:val="20"/>
        </w:rPr>
        <w:t>2004/1,</w:t>
      </w:r>
      <w:r>
        <w:rPr>
          <w:spacing w:val="23"/>
          <w:sz w:val="20"/>
        </w:rPr>
        <w:t xml:space="preserve"> </w:t>
      </w:r>
      <w:r>
        <w:rPr>
          <w:sz w:val="20"/>
        </w:rPr>
        <w:t>published</w:t>
      </w:r>
      <w:r>
        <w:rPr>
          <w:spacing w:val="24"/>
          <w:sz w:val="20"/>
        </w:rPr>
        <w:t xml:space="preserve"> </w:t>
      </w:r>
      <w:r>
        <w:rPr>
          <w:sz w:val="20"/>
        </w:rPr>
        <w:t>in</w:t>
      </w:r>
      <w:r>
        <w:rPr>
          <w:spacing w:val="23"/>
          <w:sz w:val="20"/>
        </w:rPr>
        <w:t xml:space="preserve"> </w:t>
      </w:r>
      <w:r>
        <w:rPr>
          <w:sz w:val="20"/>
        </w:rPr>
        <w:t>the</w:t>
      </w:r>
      <w:r>
        <w:rPr>
          <w:spacing w:val="22"/>
          <w:sz w:val="20"/>
        </w:rPr>
        <w:t xml:space="preserve"> </w:t>
      </w:r>
      <w:r>
        <w:rPr>
          <w:sz w:val="20"/>
        </w:rPr>
        <w:t>Official Gazette dated 29.01.2004 and numbered 25361.</w:t>
      </w:r>
    </w:p>
    <w:p w14:paraId="6B3EA017" w14:textId="77777777" w:rsidR="00EE37F9" w:rsidRDefault="00EE37F9">
      <w:pPr>
        <w:rPr>
          <w:sz w:val="20"/>
        </w:rPr>
        <w:sectPr w:rsidR="00EE37F9">
          <w:pgSz w:w="11910" w:h="16850"/>
          <w:pgMar w:top="1720" w:right="1320" w:bottom="840" w:left="1300" w:header="0" w:footer="652" w:gutter="0"/>
          <w:cols w:space="720"/>
        </w:sectPr>
      </w:pPr>
    </w:p>
    <w:p w14:paraId="5C90746F" w14:textId="77777777" w:rsidR="00EE37F9" w:rsidRDefault="00C7092E">
      <w:pPr>
        <w:pStyle w:val="GvdeMetni"/>
        <w:spacing w:before="24" w:line="276" w:lineRule="auto"/>
        <w:ind w:left="860"/>
      </w:pPr>
      <w:r>
        <w:lastRenderedPageBreak/>
        <w:t>Malaysia’s allegations that the dumping margin calculations were incompatible with the law of the World Trade Organization as well as the Anti-Dumping Agreement.</w:t>
      </w:r>
    </w:p>
    <w:p w14:paraId="2CCFBDB0" w14:textId="77777777" w:rsidR="00EE37F9" w:rsidRDefault="00C7092E">
      <w:pPr>
        <w:pStyle w:val="GvdeMetni"/>
        <w:spacing w:before="240" w:line="276" w:lineRule="auto"/>
        <w:ind w:left="860" w:right="114" w:hanging="360"/>
        <w:jc w:val="both"/>
      </w:pPr>
      <w:r>
        <w:t>─</w:t>
      </w:r>
      <w:r>
        <w:rPr>
          <w:spacing w:val="80"/>
          <w:w w:val="150"/>
        </w:rPr>
        <w:t xml:space="preserve"> </w:t>
      </w:r>
      <w:r>
        <w:t>Within the scope of another example from the year 2004, the Ministry investigated the allegations that baby carriages, strollers, pushchairs, and similar vehicles for carrying children originating in the People’s Republic of China (“</w:t>
      </w:r>
      <w:r>
        <w:rPr>
          <w:b/>
        </w:rPr>
        <w:t>PRC</w:t>
      </w:r>
      <w:r>
        <w:t>”) were being dumped into Türkiye</w:t>
      </w:r>
      <w:hyperlink w:anchor="_bookmark3" w:history="1">
        <w:r>
          <w:rPr>
            <w:vertAlign w:val="superscript"/>
          </w:rPr>
          <w:t>4</w:t>
        </w:r>
      </w:hyperlink>
      <w:r>
        <w:t>.</w:t>
      </w:r>
    </w:p>
    <w:p w14:paraId="38ACC9FA" w14:textId="77777777" w:rsidR="00EE37F9" w:rsidRDefault="00C7092E">
      <w:pPr>
        <w:pStyle w:val="GvdeMetni"/>
        <w:spacing w:before="239" w:line="276" w:lineRule="auto"/>
        <w:ind w:left="860" w:right="116" w:hanging="360"/>
        <w:jc w:val="both"/>
      </w:pPr>
      <w:r>
        <w:t>─</w:t>
      </w:r>
      <w:r>
        <w:rPr>
          <w:spacing w:val="40"/>
        </w:rPr>
        <w:t xml:space="preserve"> </w:t>
      </w:r>
      <w:r>
        <w:t>A further example from the same year was the dumping investigation concluded concerning the imports of motorcycle tires and tubes originating in Vietnam and the Chinese Taipei</w:t>
      </w:r>
      <w:hyperlink w:anchor="_bookmark4" w:history="1">
        <w:r>
          <w:rPr>
            <w:vertAlign w:val="superscript"/>
          </w:rPr>
          <w:t>5</w:t>
        </w:r>
      </w:hyperlink>
      <w:r>
        <w:t>.</w:t>
      </w:r>
    </w:p>
    <w:p w14:paraId="57CD48C5" w14:textId="77777777" w:rsidR="00EE37F9" w:rsidRDefault="00C7092E">
      <w:pPr>
        <w:pStyle w:val="GvdeMetni"/>
        <w:spacing w:before="240" w:line="276" w:lineRule="auto"/>
        <w:ind w:left="860" w:right="112" w:hanging="360"/>
        <w:jc w:val="both"/>
      </w:pPr>
      <w:proofErr w:type="gramStart"/>
      <w:r>
        <w:t>─</w:t>
      </w:r>
      <w:r>
        <w:rPr>
          <w:spacing w:val="40"/>
        </w:rPr>
        <w:t xml:space="preserve">  </w:t>
      </w:r>
      <w:r>
        <w:t>One</w:t>
      </w:r>
      <w:proofErr w:type="gramEnd"/>
      <w:r>
        <w:rPr>
          <w:spacing w:val="-5"/>
        </w:rPr>
        <w:t xml:space="preserve"> </w:t>
      </w:r>
      <w:r>
        <w:t>last</w:t>
      </w:r>
      <w:r>
        <w:rPr>
          <w:spacing w:val="-7"/>
        </w:rPr>
        <w:t xml:space="preserve"> </w:t>
      </w:r>
      <w:r>
        <w:t>example</w:t>
      </w:r>
      <w:r>
        <w:rPr>
          <w:spacing w:val="-7"/>
        </w:rPr>
        <w:t xml:space="preserve"> </w:t>
      </w:r>
      <w:r>
        <w:t>of</w:t>
      </w:r>
      <w:r>
        <w:rPr>
          <w:spacing w:val="-8"/>
        </w:rPr>
        <w:t xml:space="preserve"> </w:t>
      </w:r>
      <w:r>
        <w:t>the</w:t>
      </w:r>
      <w:r>
        <w:rPr>
          <w:spacing w:val="-10"/>
        </w:rPr>
        <w:t xml:space="preserve"> </w:t>
      </w:r>
      <w:r>
        <w:t>employment</w:t>
      </w:r>
      <w:r>
        <w:rPr>
          <w:spacing w:val="-7"/>
        </w:rPr>
        <w:t xml:space="preserve"> </w:t>
      </w:r>
      <w:r>
        <w:t>of</w:t>
      </w:r>
      <w:r>
        <w:rPr>
          <w:spacing w:val="-7"/>
        </w:rPr>
        <w:t xml:space="preserve"> </w:t>
      </w:r>
      <w:r>
        <w:t>this</w:t>
      </w:r>
      <w:r>
        <w:rPr>
          <w:spacing w:val="-8"/>
        </w:rPr>
        <w:t xml:space="preserve"> </w:t>
      </w:r>
      <w:r>
        <w:t>method</w:t>
      </w:r>
      <w:r>
        <w:rPr>
          <w:spacing w:val="-9"/>
        </w:rPr>
        <w:t xml:space="preserve"> </w:t>
      </w:r>
      <w:r>
        <w:t>from</w:t>
      </w:r>
      <w:r>
        <w:rPr>
          <w:spacing w:val="-7"/>
        </w:rPr>
        <w:t xml:space="preserve"> </w:t>
      </w:r>
      <w:r>
        <w:t>the</w:t>
      </w:r>
      <w:r>
        <w:rPr>
          <w:spacing w:val="-7"/>
        </w:rPr>
        <w:t xml:space="preserve"> </w:t>
      </w:r>
      <w:r>
        <w:t>same</w:t>
      </w:r>
      <w:r>
        <w:rPr>
          <w:spacing w:val="-7"/>
        </w:rPr>
        <w:t xml:space="preserve"> </w:t>
      </w:r>
      <w:r>
        <w:t>year</w:t>
      </w:r>
      <w:r>
        <w:rPr>
          <w:spacing w:val="-10"/>
        </w:rPr>
        <w:t xml:space="preserve"> </w:t>
      </w:r>
      <w:r>
        <w:t>was</w:t>
      </w:r>
      <w:r>
        <w:rPr>
          <w:spacing w:val="-8"/>
        </w:rPr>
        <w:t xml:space="preserve"> </w:t>
      </w:r>
      <w:r>
        <w:t>the</w:t>
      </w:r>
      <w:r>
        <w:rPr>
          <w:spacing w:val="-7"/>
        </w:rPr>
        <w:t xml:space="preserve"> </w:t>
      </w:r>
      <w:r>
        <w:t>time the</w:t>
      </w:r>
      <w:r>
        <w:rPr>
          <w:spacing w:val="-9"/>
        </w:rPr>
        <w:t xml:space="preserve"> </w:t>
      </w:r>
      <w:r>
        <w:t>Ministry</w:t>
      </w:r>
      <w:r>
        <w:rPr>
          <w:spacing w:val="-3"/>
        </w:rPr>
        <w:t xml:space="preserve"> </w:t>
      </w:r>
      <w:r>
        <w:t>investigated</w:t>
      </w:r>
      <w:r>
        <w:rPr>
          <w:spacing w:val="-5"/>
        </w:rPr>
        <w:t xml:space="preserve"> </w:t>
      </w:r>
      <w:r>
        <w:t>the</w:t>
      </w:r>
      <w:r>
        <w:rPr>
          <w:spacing w:val="-7"/>
        </w:rPr>
        <w:t xml:space="preserve"> </w:t>
      </w:r>
      <w:r>
        <w:t>allegations</w:t>
      </w:r>
      <w:r>
        <w:rPr>
          <w:spacing w:val="-8"/>
        </w:rPr>
        <w:t xml:space="preserve"> </w:t>
      </w:r>
      <w:r>
        <w:t>of</w:t>
      </w:r>
      <w:r>
        <w:rPr>
          <w:spacing w:val="-5"/>
        </w:rPr>
        <w:t xml:space="preserve"> </w:t>
      </w:r>
      <w:r>
        <w:t>dumped</w:t>
      </w:r>
      <w:r>
        <w:rPr>
          <w:spacing w:val="-6"/>
        </w:rPr>
        <w:t xml:space="preserve"> </w:t>
      </w:r>
      <w:r>
        <w:t>imports</w:t>
      </w:r>
      <w:r>
        <w:rPr>
          <w:spacing w:val="-8"/>
        </w:rPr>
        <w:t xml:space="preserve"> </w:t>
      </w:r>
      <w:r>
        <w:t>of</w:t>
      </w:r>
      <w:r>
        <w:rPr>
          <w:spacing w:val="-3"/>
        </w:rPr>
        <w:t xml:space="preserve"> </w:t>
      </w:r>
      <w:r>
        <w:t>bicycle</w:t>
      </w:r>
      <w:r>
        <w:rPr>
          <w:spacing w:val="-7"/>
        </w:rPr>
        <w:t xml:space="preserve"> </w:t>
      </w:r>
      <w:r>
        <w:t>tires</w:t>
      </w:r>
      <w:r>
        <w:rPr>
          <w:spacing w:val="-5"/>
        </w:rPr>
        <w:t xml:space="preserve"> </w:t>
      </w:r>
      <w:r>
        <w:t>and</w:t>
      </w:r>
      <w:r>
        <w:rPr>
          <w:spacing w:val="-6"/>
        </w:rPr>
        <w:t xml:space="preserve"> </w:t>
      </w:r>
      <w:r>
        <w:t>tubes originating in Vietnam, the Chinese Taipei, and Sri Lanka</w:t>
      </w:r>
      <w:hyperlink w:anchor="_bookmark5" w:history="1">
        <w:r>
          <w:rPr>
            <w:vertAlign w:val="superscript"/>
          </w:rPr>
          <w:t>6</w:t>
        </w:r>
      </w:hyperlink>
      <w:r>
        <w:t>.</w:t>
      </w:r>
    </w:p>
    <w:p w14:paraId="796D9C4F" w14:textId="77777777" w:rsidR="00EE37F9" w:rsidRDefault="00C7092E">
      <w:pPr>
        <w:pStyle w:val="GvdeMetni"/>
        <w:spacing w:before="242" w:line="276" w:lineRule="auto"/>
        <w:ind w:left="860" w:right="114" w:hanging="360"/>
        <w:jc w:val="both"/>
      </w:pPr>
      <w:r>
        <w:t>─</w:t>
      </w:r>
      <w:r>
        <w:rPr>
          <w:spacing w:val="80"/>
        </w:rPr>
        <w:t xml:space="preserve"> </w:t>
      </w:r>
      <w:r>
        <w:t>Another instance the Ministry has used this method during an investigation was the dumping investigation into the imports of certain types of new pneumatic tires of rubber originating in PRC</w:t>
      </w:r>
      <w:hyperlink w:anchor="_bookmark6" w:history="1">
        <w:r>
          <w:rPr>
            <w:vertAlign w:val="superscript"/>
          </w:rPr>
          <w:t>7</w:t>
        </w:r>
      </w:hyperlink>
      <w:r>
        <w:t>.</w:t>
      </w:r>
    </w:p>
    <w:p w14:paraId="7D126E5E" w14:textId="77777777" w:rsidR="00EE37F9" w:rsidRDefault="00C7092E">
      <w:pPr>
        <w:pStyle w:val="GvdeMetni"/>
        <w:spacing w:before="240" w:line="276" w:lineRule="auto"/>
        <w:ind w:left="860" w:right="114" w:hanging="360"/>
        <w:jc w:val="both"/>
      </w:pPr>
      <w:r>
        <w:t>─</w:t>
      </w:r>
      <w:r>
        <w:rPr>
          <w:spacing w:val="80"/>
          <w:w w:val="150"/>
        </w:rPr>
        <w:t xml:space="preserve"> </w:t>
      </w:r>
      <w:r>
        <w:t>The same practice is seen within the scope of the dumping investigation concerning the</w:t>
      </w:r>
      <w:r>
        <w:rPr>
          <w:spacing w:val="-12"/>
        </w:rPr>
        <w:t xml:space="preserve"> </w:t>
      </w:r>
      <w:r>
        <w:t>imports</w:t>
      </w:r>
      <w:r>
        <w:rPr>
          <w:spacing w:val="-12"/>
        </w:rPr>
        <w:t xml:space="preserve"> </w:t>
      </w:r>
      <w:r>
        <w:t>of</w:t>
      </w:r>
      <w:r>
        <w:rPr>
          <w:spacing w:val="-9"/>
        </w:rPr>
        <w:t xml:space="preserve"> </w:t>
      </w:r>
      <w:r>
        <w:t>polyethylene</w:t>
      </w:r>
      <w:r>
        <w:rPr>
          <w:spacing w:val="-12"/>
        </w:rPr>
        <w:t xml:space="preserve"> </w:t>
      </w:r>
      <w:r>
        <w:t>terephthalate</w:t>
      </w:r>
      <w:r>
        <w:rPr>
          <w:spacing w:val="-9"/>
        </w:rPr>
        <w:t xml:space="preserve"> </w:t>
      </w:r>
      <w:r>
        <w:t>of</w:t>
      </w:r>
      <w:r>
        <w:rPr>
          <w:spacing w:val="-11"/>
        </w:rPr>
        <w:t xml:space="preserve"> </w:t>
      </w:r>
      <w:r>
        <w:t>a</w:t>
      </w:r>
      <w:r>
        <w:rPr>
          <w:spacing w:val="-12"/>
        </w:rPr>
        <w:t xml:space="preserve"> </w:t>
      </w:r>
      <w:r>
        <w:t>viscosity</w:t>
      </w:r>
      <w:r>
        <w:rPr>
          <w:spacing w:val="-13"/>
        </w:rPr>
        <w:t xml:space="preserve"> </w:t>
      </w:r>
      <w:r>
        <w:t>of</w:t>
      </w:r>
      <w:r>
        <w:rPr>
          <w:spacing w:val="-13"/>
        </w:rPr>
        <w:t xml:space="preserve"> </w:t>
      </w:r>
      <w:r>
        <w:t>78</w:t>
      </w:r>
      <w:r>
        <w:rPr>
          <w:spacing w:val="-13"/>
        </w:rPr>
        <w:t xml:space="preserve"> </w:t>
      </w:r>
      <w:r>
        <w:t>ml/g</w:t>
      </w:r>
      <w:r>
        <w:rPr>
          <w:spacing w:val="-12"/>
        </w:rPr>
        <w:t xml:space="preserve"> </w:t>
      </w:r>
      <w:r>
        <w:t>or</w:t>
      </w:r>
      <w:r>
        <w:rPr>
          <w:spacing w:val="-13"/>
        </w:rPr>
        <w:t xml:space="preserve"> </w:t>
      </w:r>
      <w:r>
        <w:t>more</w:t>
      </w:r>
      <w:r>
        <w:rPr>
          <w:spacing w:val="-14"/>
        </w:rPr>
        <w:t xml:space="preserve"> </w:t>
      </w:r>
      <w:r>
        <w:t>originating in</w:t>
      </w:r>
      <w:r>
        <w:rPr>
          <w:spacing w:val="-9"/>
        </w:rPr>
        <w:t xml:space="preserve"> </w:t>
      </w:r>
      <w:r>
        <w:t>India,</w:t>
      </w:r>
      <w:r>
        <w:rPr>
          <w:spacing w:val="-11"/>
        </w:rPr>
        <w:t xml:space="preserve"> </w:t>
      </w:r>
      <w:r>
        <w:t>Thailand,</w:t>
      </w:r>
      <w:r>
        <w:rPr>
          <w:spacing w:val="-11"/>
        </w:rPr>
        <w:t xml:space="preserve"> </w:t>
      </w:r>
      <w:r>
        <w:t>the</w:t>
      </w:r>
      <w:r>
        <w:rPr>
          <w:spacing w:val="-12"/>
        </w:rPr>
        <w:t xml:space="preserve"> </w:t>
      </w:r>
      <w:r>
        <w:t>Chinese</w:t>
      </w:r>
      <w:r>
        <w:rPr>
          <w:spacing w:val="-12"/>
        </w:rPr>
        <w:t xml:space="preserve"> </w:t>
      </w:r>
      <w:r>
        <w:t>Taipei,</w:t>
      </w:r>
      <w:r>
        <w:rPr>
          <w:spacing w:val="-7"/>
        </w:rPr>
        <w:t xml:space="preserve"> </w:t>
      </w:r>
      <w:r>
        <w:t>South</w:t>
      </w:r>
      <w:r>
        <w:rPr>
          <w:spacing w:val="-11"/>
        </w:rPr>
        <w:t xml:space="preserve"> </w:t>
      </w:r>
      <w:r>
        <w:t>Korea</w:t>
      </w:r>
      <w:r>
        <w:rPr>
          <w:spacing w:val="-13"/>
        </w:rPr>
        <w:t xml:space="preserve"> </w:t>
      </w:r>
      <w:r>
        <w:t>(“</w:t>
      </w:r>
      <w:r>
        <w:rPr>
          <w:b/>
        </w:rPr>
        <w:t>Korea</w:t>
      </w:r>
      <w:r>
        <w:t>”),</w:t>
      </w:r>
      <w:r>
        <w:rPr>
          <w:spacing w:val="-10"/>
        </w:rPr>
        <w:t xml:space="preserve"> </w:t>
      </w:r>
      <w:r>
        <w:t>Malaysia,</w:t>
      </w:r>
      <w:r>
        <w:rPr>
          <w:spacing w:val="-12"/>
        </w:rPr>
        <w:t xml:space="preserve"> </w:t>
      </w:r>
      <w:r>
        <w:t>Indonesia,</w:t>
      </w:r>
      <w:r>
        <w:rPr>
          <w:spacing w:val="-9"/>
        </w:rPr>
        <w:t xml:space="preserve"> </w:t>
      </w:r>
      <w:r>
        <w:t xml:space="preserve">and </w:t>
      </w:r>
      <w:r>
        <w:rPr>
          <w:spacing w:val="-2"/>
        </w:rPr>
        <w:t>PRC</w:t>
      </w:r>
      <w:hyperlink w:anchor="_bookmark7" w:history="1">
        <w:r>
          <w:rPr>
            <w:spacing w:val="-2"/>
            <w:vertAlign w:val="superscript"/>
          </w:rPr>
          <w:t>8</w:t>
        </w:r>
      </w:hyperlink>
      <w:r>
        <w:rPr>
          <w:spacing w:val="-2"/>
        </w:rPr>
        <w:t>.</w:t>
      </w:r>
    </w:p>
    <w:p w14:paraId="47210D1A" w14:textId="77777777" w:rsidR="00EE37F9" w:rsidRDefault="00C7092E">
      <w:pPr>
        <w:pStyle w:val="GvdeMetni"/>
        <w:spacing w:before="239" w:line="276" w:lineRule="auto"/>
        <w:ind w:left="860" w:right="114" w:hanging="360"/>
        <w:jc w:val="both"/>
      </w:pPr>
      <w:r>
        <w:t>─</w:t>
      </w:r>
      <w:r>
        <w:rPr>
          <w:spacing w:val="80"/>
        </w:rPr>
        <w:t xml:space="preserve"> </w:t>
      </w:r>
      <w:r>
        <w:t xml:space="preserve">A further illustration of the same practice embodied in the Ministry’s expiry review investigation concerning the imports of filament yarns of polyester originating in </w:t>
      </w:r>
      <w:r>
        <w:rPr>
          <w:spacing w:val="-2"/>
        </w:rPr>
        <w:t>Korea</w:t>
      </w:r>
      <w:hyperlink w:anchor="_bookmark8" w:history="1">
        <w:r>
          <w:rPr>
            <w:spacing w:val="-2"/>
            <w:vertAlign w:val="superscript"/>
          </w:rPr>
          <w:t>9</w:t>
        </w:r>
      </w:hyperlink>
      <w:r>
        <w:rPr>
          <w:spacing w:val="-2"/>
        </w:rPr>
        <w:t>.</w:t>
      </w:r>
    </w:p>
    <w:p w14:paraId="5A006926" w14:textId="77777777" w:rsidR="00EE37F9" w:rsidRDefault="00EE37F9">
      <w:pPr>
        <w:pStyle w:val="GvdeMetni"/>
        <w:rPr>
          <w:sz w:val="20"/>
        </w:rPr>
      </w:pPr>
    </w:p>
    <w:p w14:paraId="5CCEB450" w14:textId="77777777" w:rsidR="00EE37F9" w:rsidRDefault="00EE37F9">
      <w:pPr>
        <w:pStyle w:val="GvdeMetni"/>
        <w:rPr>
          <w:sz w:val="20"/>
        </w:rPr>
      </w:pPr>
    </w:p>
    <w:p w14:paraId="00E85548" w14:textId="77777777" w:rsidR="00EE37F9" w:rsidRDefault="00C7092E">
      <w:pPr>
        <w:pStyle w:val="GvdeMetni"/>
        <w:spacing w:before="4"/>
        <w:rPr>
          <w:sz w:val="20"/>
        </w:rPr>
      </w:pPr>
      <w:r>
        <w:rPr>
          <w:noProof/>
        </w:rPr>
        <mc:AlternateContent>
          <mc:Choice Requires="wps">
            <w:drawing>
              <wp:anchor distT="0" distB="0" distL="0" distR="0" simplePos="0" relativeHeight="487589376" behindDoc="1" locked="0" layoutInCell="1" allowOverlap="1" wp14:anchorId="113D4687" wp14:editId="76C75A1E">
                <wp:simplePos x="0" y="0"/>
                <wp:positionH relativeFrom="page">
                  <wp:posOffset>914704</wp:posOffset>
                </wp:positionH>
                <wp:positionV relativeFrom="paragraph">
                  <wp:posOffset>173360</wp:posOffset>
                </wp:positionV>
                <wp:extent cx="182943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07C021" id="Graphic 6" o:spid="_x0000_s1026" style="position:absolute;margin-left:1in;margin-top:13.65pt;width:144.0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" path="m1829054,l,,,7620r1829054,l1829054,xe" fillcolor="black" stroked="f">
                <v:path arrowok="t"/>
                <w10:wrap type="topAndBottom" anchorx="page"/>
              </v:shape>
            </w:pict>
          </mc:Fallback>
        </mc:AlternateContent>
      </w:r>
    </w:p>
    <w:p w14:paraId="6C1C5411" w14:textId="77777777" w:rsidR="00EE37F9" w:rsidRDefault="00EE37F9">
      <w:pPr>
        <w:pStyle w:val="GvdeMetni"/>
        <w:spacing w:before="139"/>
        <w:rPr>
          <w:sz w:val="20"/>
        </w:rPr>
      </w:pPr>
    </w:p>
    <w:p w14:paraId="15D1F0C3" w14:textId="77777777" w:rsidR="00EE37F9" w:rsidRDefault="00C7092E">
      <w:pPr>
        <w:ind w:left="140"/>
        <w:rPr>
          <w:sz w:val="20"/>
        </w:rPr>
      </w:pPr>
      <w:bookmarkStart w:id="3" w:name="_bookmark3"/>
      <w:bookmarkEnd w:id="3"/>
      <w:r>
        <w:rPr>
          <w:sz w:val="20"/>
          <w:vertAlign w:val="superscript"/>
        </w:rPr>
        <w:t>4</w:t>
      </w:r>
      <w:r>
        <w:rPr>
          <w:sz w:val="20"/>
        </w:rPr>
        <w:t xml:space="preserve"> Communiqué on Prevention of Unfair Competition in Imports</w:t>
      </w:r>
      <w:r>
        <w:rPr>
          <w:spacing w:val="25"/>
          <w:sz w:val="20"/>
        </w:rPr>
        <w:t xml:space="preserve"> </w:t>
      </w:r>
      <w:r>
        <w:rPr>
          <w:sz w:val="20"/>
        </w:rPr>
        <w:t>numbered 2004/15, published in the Official</w:t>
      </w:r>
      <w:r>
        <w:rPr>
          <w:spacing w:val="40"/>
          <w:sz w:val="20"/>
        </w:rPr>
        <w:t xml:space="preserve"> </w:t>
      </w:r>
      <w:r>
        <w:rPr>
          <w:sz w:val="20"/>
        </w:rPr>
        <w:t>Gazette dated 01.08.2004 and numbered 25540.</w:t>
      </w:r>
    </w:p>
    <w:p w14:paraId="320E2D1A" w14:textId="77777777" w:rsidR="00EE37F9" w:rsidRDefault="00C7092E">
      <w:pPr>
        <w:spacing w:before="119"/>
        <w:ind w:left="140"/>
        <w:rPr>
          <w:sz w:val="20"/>
        </w:rPr>
      </w:pPr>
      <w:bookmarkStart w:id="4" w:name="_bookmark4"/>
      <w:bookmarkEnd w:id="4"/>
      <w:r>
        <w:rPr>
          <w:sz w:val="20"/>
          <w:vertAlign w:val="superscript"/>
        </w:rPr>
        <w:t>5</w:t>
      </w:r>
      <w:r>
        <w:rPr>
          <w:sz w:val="20"/>
        </w:rPr>
        <w:t xml:space="preserve"> Communiqué on Prevention of Unfair Competition in Imports numbered 2004/21, published in the Official</w:t>
      </w:r>
      <w:r>
        <w:rPr>
          <w:spacing w:val="40"/>
          <w:sz w:val="20"/>
        </w:rPr>
        <w:t xml:space="preserve"> </w:t>
      </w:r>
      <w:r>
        <w:rPr>
          <w:sz w:val="20"/>
        </w:rPr>
        <w:t>Gazette dated 27.09.2004 and numbered 25596.</w:t>
      </w:r>
    </w:p>
    <w:p w14:paraId="64E50420" w14:textId="77777777" w:rsidR="00EE37F9" w:rsidRDefault="00C7092E">
      <w:pPr>
        <w:spacing w:before="122"/>
        <w:ind w:left="140"/>
        <w:rPr>
          <w:sz w:val="20"/>
        </w:rPr>
      </w:pPr>
      <w:bookmarkStart w:id="5" w:name="_bookmark5"/>
      <w:bookmarkEnd w:id="5"/>
      <w:r>
        <w:rPr>
          <w:sz w:val="20"/>
          <w:vertAlign w:val="superscript"/>
        </w:rPr>
        <w:t>6</w:t>
      </w:r>
      <w:r>
        <w:rPr>
          <w:sz w:val="20"/>
        </w:rPr>
        <w:t xml:space="preserve"> Communiqué on Prevention of Unfair</w:t>
      </w:r>
      <w:r>
        <w:rPr>
          <w:spacing w:val="24"/>
          <w:sz w:val="20"/>
        </w:rPr>
        <w:t xml:space="preserve"> </w:t>
      </w:r>
      <w:r>
        <w:rPr>
          <w:sz w:val="20"/>
        </w:rPr>
        <w:t>Competition in Imports numbered 2004/22, published in the Official</w:t>
      </w:r>
      <w:r>
        <w:rPr>
          <w:spacing w:val="40"/>
          <w:sz w:val="20"/>
        </w:rPr>
        <w:t xml:space="preserve"> </w:t>
      </w:r>
      <w:r>
        <w:rPr>
          <w:sz w:val="20"/>
        </w:rPr>
        <w:t>Gazette dated 27.09.2004 and numbered 25596.</w:t>
      </w:r>
    </w:p>
    <w:p w14:paraId="40DC3CFB" w14:textId="77777777" w:rsidR="00EE37F9" w:rsidRDefault="00C7092E">
      <w:pPr>
        <w:spacing w:before="118"/>
        <w:ind w:left="140"/>
        <w:rPr>
          <w:sz w:val="20"/>
        </w:rPr>
      </w:pPr>
      <w:bookmarkStart w:id="6" w:name="_bookmark6"/>
      <w:bookmarkEnd w:id="6"/>
      <w:r>
        <w:rPr>
          <w:sz w:val="20"/>
          <w:vertAlign w:val="superscript"/>
        </w:rPr>
        <w:t>7</w:t>
      </w:r>
      <w:r>
        <w:rPr>
          <w:sz w:val="20"/>
        </w:rPr>
        <w:t xml:space="preserve"> Communiqué on Prevention of Unfair Competition in Imports numbered 2005/18, published in the Official</w:t>
      </w:r>
      <w:r>
        <w:rPr>
          <w:spacing w:val="40"/>
          <w:sz w:val="20"/>
        </w:rPr>
        <w:t xml:space="preserve"> </w:t>
      </w:r>
      <w:r>
        <w:rPr>
          <w:sz w:val="20"/>
        </w:rPr>
        <w:t>Gazette dated 20.08.2005 and numbered 25912.</w:t>
      </w:r>
    </w:p>
    <w:p w14:paraId="5C1C3E9A" w14:textId="77777777" w:rsidR="00EE37F9" w:rsidRDefault="00C7092E">
      <w:pPr>
        <w:spacing w:before="119"/>
        <w:ind w:left="140"/>
        <w:rPr>
          <w:sz w:val="20"/>
        </w:rPr>
      </w:pPr>
      <w:bookmarkStart w:id="7" w:name="_bookmark7"/>
      <w:bookmarkEnd w:id="7"/>
      <w:r>
        <w:rPr>
          <w:sz w:val="20"/>
          <w:vertAlign w:val="superscript"/>
        </w:rPr>
        <w:t>8</w:t>
      </w:r>
      <w:r>
        <w:rPr>
          <w:sz w:val="20"/>
        </w:rPr>
        <w:t xml:space="preserve"> Communiqué on Prevention of Unfair Competition in Imports numbered</w:t>
      </w:r>
      <w:r>
        <w:rPr>
          <w:spacing w:val="25"/>
          <w:sz w:val="20"/>
        </w:rPr>
        <w:t xml:space="preserve"> </w:t>
      </w:r>
      <w:r>
        <w:rPr>
          <w:sz w:val="20"/>
        </w:rPr>
        <w:t>2006/01, published in the Official</w:t>
      </w:r>
      <w:r>
        <w:rPr>
          <w:spacing w:val="40"/>
          <w:sz w:val="20"/>
        </w:rPr>
        <w:t xml:space="preserve"> </w:t>
      </w:r>
      <w:r>
        <w:rPr>
          <w:sz w:val="20"/>
        </w:rPr>
        <w:t>Gazette dated 27.01.2006 and numbered 26062.</w:t>
      </w:r>
    </w:p>
    <w:p w14:paraId="429A767B" w14:textId="77777777" w:rsidR="00EE37F9" w:rsidRDefault="00C7092E">
      <w:pPr>
        <w:spacing w:before="122"/>
        <w:ind w:left="140"/>
        <w:rPr>
          <w:sz w:val="20"/>
        </w:rPr>
      </w:pPr>
      <w:bookmarkStart w:id="8" w:name="_bookmark8"/>
      <w:bookmarkEnd w:id="8"/>
      <w:r>
        <w:rPr>
          <w:sz w:val="20"/>
          <w:vertAlign w:val="superscript"/>
        </w:rPr>
        <w:t>9</w:t>
      </w:r>
      <w:r>
        <w:rPr>
          <w:sz w:val="20"/>
        </w:rPr>
        <w:t xml:space="preserve"> Communiqué on Prevention of Unfair Competition in Imports numbered 2006/12, published in the Official</w:t>
      </w:r>
      <w:r>
        <w:rPr>
          <w:spacing w:val="40"/>
          <w:sz w:val="20"/>
        </w:rPr>
        <w:t xml:space="preserve"> </w:t>
      </w:r>
      <w:r>
        <w:rPr>
          <w:sz w:val="20"/>
        </w:rPr>
        <w:t>Gazette dated 18.05.2006 and numbered 26172.</w:t>
      </w:r>
    </w:p>
    <w:p w14:paraId="3AC03309" w14:textId="77777777" w:rsidR="00EE37F9" w:rsidRDefault="00EE37F9">
      <w:pPr>
        <w:rPr>
          <w:sz w:val="20"/>
        </w:rPr>
        <w:sectPr w:rsidR="00EE37F9">
          <w:pgSz w:w="11910" w:h="16850"/>
          <w:pgMar w:top="1720" w:right="1320" w:bottom="840" w:left="1300" w:header="0" w:footer="652" w:gutter="0"/>
          <w:cols w:space="720"/>
        </w:sectPr>
      </w:pPr>
    </w:p>
    <w:p w14:paraId="7A72BEC0" w14:textId="77777777" w:rsidR="00EE37F9" w:rsidRDefault="00C7092E">
      <w:pPr>
        <w:pStyle w:val="GvdeMetni"/>
        <w:spacing w:before="24" w:line="276" w:lineRule="auto"/>
        <w:ind w:left="860" w:right="114" w:hanging="360"/>
        <w:jc w:val="both"/>
      </w:pPr>
      <w:proofErr w:type="gramStart"/>
      <w:r>
        <w:lastRenderedPageBreak/>
        <w:t>─</w:t>
      </w:r>
      <w:r>
        <w:rPr>
          <w:spacing w:val="40"/>
        </w:rPr>
        <w:t xml:space="preserve">  </w:t>
      </w:r>
      <w:r>
        <w:t>A</w:t>
      </w:r>
      <w:proofErr w:type="gramEnd"/>
      <w:r>
        <w:rPr>
          <w:spacing w:val="-11"/>
        </w:rPr>
        <w:t xml:space="preserve"> </w:t>
      </w:r>
      <w:r>
        <w:t>relatively</w:t>
      </w:r>
      <w:r>
        <w:rPr>
          <w:spacing w:val="-13"/>
        </w:rPr>
        <w:t xml:space="preserve"> </w:t>
      </w:r>
      <w:r>
        <w:t>newer</w:t>
      </w:r>
      <w:r>
        <w:rPr>
          <w:spacing w:val="-10"/>
        </w:rPr>
        <w:t xml:space="preserve"> </w:t>
      </w:r>
      <w:r>
        <w:t>yet</w:t>
      </w:r>
      <w:r>
        <w:rPr>
          <w:spacing w:val="-10"/>
        </w:rPr>
        <w:t xml:space="preserve"> </w:t>
      </w:r>
      <w:r>
        <w:t>a</w:t>
      </w:r>
      <w:r>
        <w:rPr>
          <w:spacing w:val="-12"/>
        </w:rPr>
        <w:t xml:space="preserve"> </w:t>
      </w:r>
      <w:r>
        <w:t>hardly</w:t>
      </w:r>
      <w:r>
        <w:rPr>
          <w:spacing w:val="-11"/>
        </w:rPr>
        <w:t xml:space="preserve"> </w:t>
      </w:r>
      <w:r>
        <w:t>recent</w:t>
      </w:r>
      <w:r>
        <w:rPr>
          <w:spacing w:val="-10"/>
        </w:rPr>
        <w:t xml:space="preserve"> </w:t>
      </w:r>
      <w:r>
        <w:t>example</w:t>
      </w:r>
      <w:r>
        <w:rPr>
          <w:spacing w:val="-8"/>
        </w:rPr>
        <w:t xml:space="preserve"> </w:t>
      </w:r>
      <w:r>
        <w:t>of</w:t>
      </w:r>
      <w:r>
        <w:rPr>
          <w:spacing w:val="-11"/>
        </w:rPr>
        <w:t xml:space="preserve"> </w:t>
      </w:r>
      <w:proofErr w:type="spellStart"/>
      <w:r>
        <w:t>utilisation</w:t>
      </w:r>
      <w:proofErr w:type="spellEnd"/>
      <w:r>
        <w:rPr>
          <w:spacing w:val="-11"/>
        </w:rPr>
        <w:t xml:space="preserve"> </w:t>
      </w:r>
      <w:r>
        <w:t>of</w:t>
      </w:r>
      <w:r>
        <w:rPr>
          <w:spacing w:val="-11"/>
        </w:rPr>
        <w:t xml:space="preserve"> </w:t>
      </w:r>
      <w:r>
        <w:t>the</w:t>
      </w:r>
      <w:r>
        <w:rPr>
          <w:spacing w:val="-11"/>
        </w:rPr>
        <w:t xml:space="preserve"> </w:t>
      </w:r>
      <w:r>
        <w:t>same</w:t>
      </w:r>
      <w:r>
        <w:rPr>
          <w:spacing w:val="-11"/>
        </w:rPr>
        <w:t xml:space="preserve"> </w:t>
      </w:r>
      <w:r>
        <w:t>method</w:t>
      </w:r>
      <w:r>
        <w:rPr>
          <w:spacing w:val="-6"/>
        </w:rPr>
        <w:t xml:space="preserve"> </w:t>
      </w:r>
      <w:r>
        <w:t>is</w:t>
      </w:r>
      <w:r>
        <w:rPr>
          <w:spacing w:val="-11"/>
        </w:rPr>
        <w:t xml:space="preserve"> </w:t>
      </w:r>
      <w:r>
        <w:t>the new exporter review investigation concerning the imports of woven fabrics of synthetic filament yarn for clothing originating in Malaysia</w:t>
      </w:r>
      <w:hyperlink w:anchor="_bookmark9" w:history="1">
        <w:r>
          <w:rPr>
            <w:vertAlign w:val="superscript"/>
          </w:rPr>
          <w:t>10</w:t>
        </w:r>
      </w:hyperlink>
      <w:r>
        <w:t>.</w:t>
      </w:r>
    </w:p>
    <w:p w14:paraId="1F0CCDD4" w14:textId="77777777" w:rsidR="00EE37F9" w:rsidRDefault="00C7092E">
      <w:pPr>
        <w:pStyle w:val="GvdeMetni"/>
        <w:spacing w:before="239" w:line="276" w:lineRule="auto"/>
        <w:ind w:left="140" w:right="111"/>
        <w:jc w:val="both"/>
      </w:pPr>
      <w:r>
        <w:t>Accordingly, and as illustrated by means of the examples, the method of making use of a weighted average to individual transaction basis is allowed under both the national and international legislation the Ministry is bound by. However, even though employing this method</w:t>
      </w:r>
      <w:r>
        <w:rPr>
          <w:spacing w:val="-5"/>
        </w:rPr>
        <w:t xml:space="preserve"> </w:t>
      </w:r>
      <w:r>
        <w:t>and</w:t>
      </w:r>
      <w:r>
        <w:rPr>
          <w:spacing w:val="-6"/>
        </w:rPr>
        <w:t xml:space="preserve"> </w:t>
      </w:r>
      <w:r>
        <w:t>departing</w:t>
      </w:r>
      <w:r>
        <w:rPr>
          <w:spacing w:val="-10"/>
        </w:rPr>
        <w:t xml:space="preserve"> </w:t>
      </w:r>
      <w:r>
        <w:t>from</w:t>
      </w:r>
      <w:r>
        <w:rPr>
          <w:spacing w:val="-7"/>
        </w:rPr>
        <w:t xml:space="preserve"> </w:t>
      </w:r>
      <w:r>
        <w:t>the</w:t>
      </w:r>
      <w:r>
        <w:rPr>
          <w:spacing w:val="-5"/>
        </w:rPr>
        <w:t xml:space="preserve"> </w:t>
      </w:r>
      <w:r>
        <w:t>long-established</w:t>
      </w:r>
      <w:r>
        <w:rPr>
          <w:spacing w:val="-7"/>
        </w:rPr>
        <w:t xml:space="preserve"> </w:t>
      </w:r>
      <w:r>
        <w:t>precedent</w:t>
      </w:r>
      <w:r>
        <w:rPr>
          <w:spacing w:val="-5"/>
        </w:rPr>
        <w:t xml:space="preserve"> </w:t>
      </w:r>
      <w:r>
        <w:t>years</w:t>
      </w:r>
      <w:r>
        <w:rPr>
          <w:spacing w:val="-7"/>
        </w:rPr>
        <w:t xml:space="preserve"> </w:t>
      </w:r>
      <w:r>
        <w:t>later</w:t>
      </w:r>
      <w:r>
        <w:rPr>
          <w:spacing w:val="-6"/>
        </w:rPr>
        <w:t xml:space="preserve"> </w:t>
      </w:r>
      <w:r>
        <w:t>merely</w:t>
      </w:r>
      <w:r>
        <w:rPr>
          <w:spacing w:val="-8"/>
        </w:rPr>
        <w:t xml:space="preserve"> </w:t>
      </w:r>
      <w:r>
        <w:t>constitutes</w:t>
      </w:r>
      <w:r>
        <w:rPr>
          <w:spacing w:val="-7"/>
        </w:rPr>
        <w:t xml:space="preserve"> </w:t>
      </w:r>
      <w:r>
        <w:t>an exception,</w:t>
      </w:r>
      <w:r>
        <w:rPr>
          <w:spacing w:val="-14"/>
        </w:rPr>
        <w:t xml:space="preserve"> </w:t>
      </w:r>
      <w:r>
        <w:t>the</w:t>
      </w:r>
      <w:r>
        <w:rPr>
          <w:spacing w:val="-14"/>
        </w:rPr>
        <w:t xml:space="preserve"> </w:t>
      </w:r>
      <w:r>
        <w:t>Revised</w:t>
      </w:r>
      <w:r>
        <w:rPr>
          <w:spacing w:val="-12"/>
        </w:rPr>
        <w:t xml:space="preserve"> </w:t>
      </w:r>
      <w:r>
        <w:t>Final</w:t>
      </w:r>
      <w:r>
        <w:rPr>
          <w:spacing w:val="-14"/>
        </w:rPr>
        <w:t xml:space="preserve"> </w:t>
      </w:r>
      <w:r>
        <w:t>Disclosure</w:t>
      </w:r>
      <w:r>
        <w:rPr>
          <w:spacing w:val="-11"/>
        </w:rPr>
        <w:t xml:space="preserve"> </w:t>
      </w:r>
      <w:r>
        <w:t>appreciably</w:t>
      </w:r>
      <w:r>
        <w:rPr>
          <w:spacing w:val="-14"/>
        </w:rPr>
        <w:t xml:space="preserve"> </w:t>
      </w:r>
      <w:r>
        <w:t>signifies</w:t>
      </w:r>
      <w:r>
        <w:rPr>
          <w:spacing w:val="-12"/>
        </w:rPr>
        <w:t xml:space="preserve"> </w:t>
      </w:r>
      <w:r>
        <w:t>the</w:t>
      </w:r>
      <w:r>
        <w:rPr>
          <w:spacing w:val="-14"/>
        </w:rPr>
        <w:t xml:space="preserve"> </w:t>
      </w:r>
      <w:r>
        <w:t>possibility</w:t>
      </w:r>
      <w:r>
        <w:rPr>
          <w:spacing w:val="-14"/>
        </w:rPr>
        <w:t xml:space="preserve"> </w:t>
      </w:r>
      <w:r>
        <w:t>of</w:t>
      </w:r>
      <w:r>
        <w:rPr>
          <w:spacing w:val="-12"/>
        </w:rPr>
        <w:t xml:space="preserve"> </w:t>
      </w:r>
      <w:proofErr w:type="spellStart"/>
      <w:r>
        <w:t>utilisation</w:t>
      </w:r>
      <w:proofErr w:type="spellEnd"/>
      <w:r>
        <w:rPr>
          <w:spacing w:val="-13"/>
        </w:rPr>
        <w:t xml:space="preserve"> </w:t>
      </w:r>
      <w:r>
        <w:t>of</w:t>
      </w:r>
      <w:r>
        <w:rPr>
          <w:spacing w:val="-14"/>
        </w:rPr>
        <w:t xml:space="preserve"> </w:t>
      </w:r>
      <w:r>
        <w:t xml:space="preserve">this method for future dumping margin calculations, in particular </w:t>
      </w:r>
      <w:proofErr w:type="gramStart"/>
      <w:r>
        <w:t>with regard to</w:t>
      </w:r>
      <w:proofErr w:type="gramEnd"/>
      <w:r>
        <w:t xml:space="preserve"> the cases of suspicion</w:t>
      </w:r>
      <w:r>
        <w:rPr>
          <w:spacing w:val="-14"/>
        </w:rPr>
        <w:t xml:space="preserve"> </w:t>
      </w:r>
      <w:r>
        <w:t>that</w:t>
      </w:r>
      <w:r>
        <w:rPr>
          <w:spacing w:val="-14"/>
        </w:rPr>
        <w:t xml:space="preserve"> </w:t>
      </w:r>
      <w:r>
        <w:t>might</w:t>
      </w:r>
      <w:r>
        <w:rPr>
          <w:spacing w:val="-13"/>
        </w:rPr>
        <w:t xml:space="preserve"> </w:t>
      </w:r>
      <w:r>
        <w:t>include</w:t>
      </w:r>
      <w:r>
        <w:rPr>
          <w:spacing w:val="-14"/>
        </w:rPr>
        <w:t xml:space="preserve"> </w:t>
      </w:r>
      <w:r>
        <w:t>dumping</w:t>
      </w:r>
      <w:r>
        <w:rPr>
          <w:spacing w:val="-13"/>
        </w:rPr>
        <w:t xml:space="preserve"> </w:t>
      </w:r>
      <w:r>
        <w:t>that</w:t>
      </w:r>
      <w:r>
        <w:rPr>
          <w:spacing w:val="-14"/>
        </w:rPr>
        <w:t xml:space="preserve"> </w:t>
      </w:r>
      <w:r>
        <w:t>targets</w:t>
      </w:r>
      <w:r>
        <w:rPr>
          <w:spacing w:val="-13"/>
        </w:rPr>
        <w:t xml:space="preserve"> </w:t>
      </w:r>
      <w:r>
        <w:t>certain</w:t>
      </w:r>
      <w:r>
        <w:rPr>
          <w:spacing w:val="-14"/>
        </w:rPr>
        <w:t xml:space="preserve"> </w:t>
      </w:r>
      <w:r>
        <w:t>regions,</w:t>
      </w:r>
      <w:r>
        <w:rPr>
          <w:spacing w:val="-14"/>
        </w:rPr>
        <w:t xml:space="preserve"> </w:t>
      </w:r>
      <w:r>
        <w:t>purchasers</w:t>
      </w:r>
      <w:r>
        <w:rPr>
          <w:spacing w:val="-13"/>
        </w:rPr>
        <w:t xml:space="preserve"> </w:t>
      </w:r>
      <w:r>
        <w:t>or</w:t>
      </w:r>
      <w:r>
        <w:rPr>
          <w:spacing w:val="-14"/>
        </w:rPr>
        <w:t xml:space="preserve"> </w:t>
      </w:r>
      <w:r>
        <w:t>time</w:t>
      </w:r>
      <w:r>
        <w:rPr>
          <w:spacing w:val="-13"/>
        </w:rPr>
        <w:t xml:space="preserve"> </w:t>
      </w:r>
      <w:r>
        <w:t>periods; thereby creating another layer of burden for exporters.</w:t>
      </w:r>
    </w:p>
    <w:p w14:paraId="4940FE14" w14:textId="77777777" w:rsidR="00EE37F9" w:rsidRDefault="00EE37F9">
      <w:pPr>
        <w:pStyle w:val="GvdeMetni"/>
        <w:rPr>
          <w:sz w:val="20"/>
        </w:rPr>
      </w:pPr>
    </w:p>
    <w:p w14:paraId="5D602AB8" w14:textId="77777777" w:rsidR="00EE37F9" w:rsidRDefault="00EE37F9">
      <w:pPr>
        <w:pStyle w:val="GvdeMetni"/>
        <w:rPr>
          <w:sz w:val="20"/>
        </w:rPr>
      </w:pPr>
    </w:p>
    <w:p w14:paraId="4D53AC6F" w14:textId="77777777" w:rsidR="00EE37F9" w:rsidRDefault="00EE37F9">
      <w:pPr>
        <w:pStyle w:val="GvdeMetni"/>
        <w:rPr>
          <w:sz w:val="20"/>
        </w:rPr>
      </w:pPr>
    </w:p>
    <w:p w14:paraId="1E0B0521" w14:textId="77777777" w:rsidR="00EE37F9" w:rsidRDefault="00EE37F9">
      <w:pPr>
        <w:pStyle w:val="GvdeMetni"/>
        <w:rPr>
          <w:sz w:val="20"/>
        </w:rPr>
      </w:pPr>
    </w:p>
    <w:p w14:paraId="27D07E8F" w14:textId="77777777" w:rsidR="00EE37F9" w:rsidRDefault="00EE37F9">
      <w:pPr>
        <w:pStyle w:val="GvdeMetni"/>
        <w:rPr>
          <w:sz w:val="20"/>
        </w:rPr>
      </w:pPr>
    </w:p>
    <w:p w14:paraId="0493F6F0" w14:textId="77777777" w:rsidR="00EE37F9" w:rsidRDefault="00EE37F9">
      <w:pPr>
        <w:pStyle w:val="GvdeMetni"/>
        <w:rPr>
          <w:sz w:val="20"/>
        </w:rPr>
      </w:pPr>
    </w:p>
    <w:p w14:paraId="3B751780" w14:textId="77777777" w:rsidR="00EE37F9" w:rsidRDefault="00EE37F9">
      <w:pPr>
        <w:pStyle w:val="GvdeMetni"/>
        <w:rPr>
          <w:sz w:val="20"/>
        </w:rPr>
      </w:pPr>
    </w:p>
    <w:p w14:paraId="161359D3" w14:textId="77777777" w:rsidR="00EE37F9" w:rsidRDefault="00EE37F9">
      <w:pPr>
        <w:pStyle w:val="GvdeMetni"/>
        <w:rPr>
          <w:sz w:val="20"/>
        </w:rPr>
      </w:pPr>
    </w:p>
    <w:p w14:paraId="7F69C2B3" w14:textId="77777777" w:rsidR="00EE37F9" w:rsidRDefault="00EE37F9">
      <w:pPr>
        <w:pStyle w:val="GvdeMetni"/>
        <w:rPr>
          <w:sz w:val="20"/>
        </w:rPr>
      </w:pPr>
    </w:p>
    <w:p w14:paraId="175F3F12" w14:textId="77777777" w:rsidR="00EE37F9" w:rsidRDefault="00EE37F9">
      <w:pPr>
        <w:pStyle w:val="GvdeMetni"/>
        <w:rPr>
          <w:sz w:val="20"/>
        </w:rPr>
      </w:pPr>
    </w:p>
    <w:p w14:paraId="3C035AB3" w14:textId="77777777" w:rsidR="00EE37F9" w:rsidRDefault="00EE37F9">
      <w:pPr>
        <w:pStyle w:val="GvdeMetni"/>
        <w:rPr>
          <w:sz w:val="20"/>
        </w:rPr>
      </w:pPr>
    </w:p>
    <w:p w14:paraId="67BB519A" w14:textId="77777777" w:rsidR="00EE37F9" w:rsidRDefault="00EE37F9">
      <w:pPr>
        <w:pStyle w:val="GvdeMetni"/>
        <w:rPr>
          <w:sz w:val="20"/>
        </w:rPr>
      </w:pPr>
    </w:p>
    <w:p w14:paraId="18367337" w14:textId="77777777" w:rsidR="00EE37F9" w:rsidRDefault="00EE37F9">
      <w:pPr>
        <w:pStyle w:val="GvdeMetni"/>
        <w:rPr>
          <w:sz w:val="20"/>
        </w:rPr>
      </w:pPr>
    </w:p>
    <w:p w14:paraId="7BEEB887" w14:textId="77777777" w:rsidR="00EE37F9" w:rsidRDefault="00EE37F9">
      <w:pPr>
        <w:pStyle w:val="GvdeMetni"/>
        <w:rPr>
          <w:sz w:val="20"/>
        </w:rPr>
      </w:pPr>
    </w:p>
    <w:p w14:paraId="102A120D" w14:textId="77777777" w:rsidR="00EE37F9" w:rsidRDefault="00EE37F9">
      <w:pPr>
        <w:pStyle w:val="GvdeMetni"/>
        <w:rPr>
          <w:sz w:val="20"/>
        </w:rPr>
      </w:pPr>
    </w:p>
    <w:p w14:paraId="39032BB4" w14:textId="77777777" w:rsidR="00EE37F9" w:rsidRDefault="00EE37F9">
      <w:pPr>
        <w:pStyle w:val="GvdeMetni"/>
        <w:rPr>
          <w:sz w:val="20"/>
        </w:rPr>
      </w:pPr>
    </w:p>
    <w:p w14:paraId="49B06DF5" w14:textId="77777777" w:rsidR="00EE37F9" w:rsidRDefault="00EE37F9">
      <w:pPr>
        <w:pStyle w:val="GvdeMetni"/>
        <w:rPr>
          <w:sz w:val="20"/>
        </w:rPr>
      </w:pPr>
    </w:p>
    <w:p w14:paraId="10773A7B" w14:textId="77777777" w:rsidR="00EE37F9" w:rsidRDefault="00EE37F9">
      <w:pPr>
        <w:pStyle w:val="GvdeMetni"/>
        <w:rPr>
          <w:sz w:val="20"/>
        </w:rPr>
      </w:pPr>
    </w:p>
    <w:p w14:paraId="490B386E" w14:textId="77777777" w:rsidR="00EE37F9" w:rsidRDefault="00EE37F9">
      <w:pPr>
        <w:pStyle w:val="GvdeMetni"/>
        <w:rPr>
          <w:sz w:val="20"/>
        </w:rPr>
      </w:pPr>
    </w:p>
    <w:p w14:paraId="4E80B332" w14:textId="77777777" w:rsidR="00EE37F9" w:rsidRDefault="00EE37F9">
      <w:pPr>
        <w:pStyle w:val="GvdeMetni"/>
        <w:rPr>
          <w:sz w:val="20"/>
        </w:rPr>
      </w:pPr>
    </w:p>
    <w:p w14:paraId="3A6759D5" w14:textId="77777777" w:rsidR="00EE37F9" w:rsidRDefault="00EE37F9">
      <w:pPr>
        <w:pStyle w:val="GvdeMetni"/>
        <w:rPr>
          <w:sz w:val="20"/>
        </w:rPr>
      </w:pPr>
    </w:p>
    <w:p w14:paraId="29EE23F6" w14:textId="77777777" w:rsidR="00EE37F9" w:rsidRDefault="00EE37F9">
      <w:pPr>
        <w:pStyle w:val="GvdeMetni"/>
        <w:rPr>
          <w:sz w:val="20"/>
        </w:rPr>
      </w:pPr>
    </w:p>
    <w:p w14:paraId="2FE65734" w14:textId="77777777" w:rsidR="00EE37F9" w:rsidRDefault="00EE37F9">
      <w:pPr>
        <w:pStyle w:val="GvdeMetni"/>
        <w:rPr>
          <w:sz w:val="20"/>
        </w:rPr>
      </w:pPr>
    </w:p>
    <w:p w14:paraId="32AC40A1" w14:textId="77777777" w:rsidR="00EE37F9" w:rsidRDefault="00EE37F9">
      <w:pPr>
        <w:pStyle w:val="GvdeMetni"/>
        <w:rPr>
          <w:sz w:val="20"/>
        </w:rPr>
      </w:pPr>
    </w:p>
    <w:p w14:paraId="1538390E" w14:textId="77777777" w:rsidR="00EE37F9" w:rsidRDefault="00EE37F9">
      <w:pPr>
        <w:pStyle w:val="GvdeMetni"/>
        <w:rPr>
          <w:sz w:val="20"/>
        </w:rPr>
      </w:pPr>
    </w:p>
    <w:p w14:paraId="28F19C63" w14:textId="77777777" w:rsidR="00EE37F9" w:rsidRDefault="00EE37F9">
      <w:pPr>
        <w:pStyle w:val="GvdeMetni"/>
        <w:rPr>
          <w:sz w:val="20"/>
        </w:rPr>
      </w:pPr>
    </w:p>
    <w:p w14:paraId="580954AF" w14:textId="77777777" w:rsidR="00EE37F9" w:rsidRDefault="00EE37F9">
      <w:pPr>
        <w:pStyle w:val="GvdeMetni"/>
        <w:rPr>
          <w:sz w:val="20"/>
        </w:rPr>
      </w:pPr>
    </w:p>
    <w:p w14:paraId="7902ABCA" w14:textId="77777777" w:rsidR="00EE37F9" w:rsidRDefault="00EE37F9">
      <w:pPr>
        <w:pStyle w:val="GvdeMetni"/>
        <w:rPr>
          <w:sz w:val="20"/>
        </w:rPr>
      </w:pPr>
    </w:p>
    <w:p w14:paraId="76856C00" w14:textId="77777777" w:rsidR="00EE37F9" w:rsidRDefault="00EE37F9">
      <w:pPr>
        <w:pStyle w:val="GvdeMetni"/>
        <w:rPr>
          <w:sz w:val="20"/>
        </w:rPr>
      </w:pPr>
    </w:p>
    <w:p w14:paraId="778D3382" w14:textId="77777777" w:rsidR="00EE37F9" w:rsidRDefault="00EE37F9">
      <w:pPr>
        <w:pStyle w:val="GvdeMetni"/>
        <w:rPr>
          <w:sz w:val="20"/>
        </w:rPr>
      </w:pPr>
    </w:p>
    <w:p w14:paraId="7EFDF7A3" w14:textId="77777777" w:rsidR="00EE37F9" w:rsidRDefault="00EE37F9">
      <w:pPr>
        <w:pStyle w:val="GvdeMetni"/>
        <w:rPr>
          <w:sz w:val="20"/>
        </w:rPr>
      </w:pPr>
    </w:p>
    <w:p w14:paraId="70121A54" w14:textId="77777777" w:rsidR="00EE37F9" w:rsidRDefault="00EE37F9">
      <w:pPr>
        <w:pStyle w:val="GvdeMetni"/>
        <w:rPr>
          <w:sz w:val="20"/>
        </w:rPr>
      </w:pPr>
    </w:p>
    <w:p w14:paraId="0188FAEF" w14:textId="77777777" w:rsidR="00EE37F9" w:rsidRDefault="00EE37F9">
      <w:pPr>
        <w:pStyle w:val="GvdeMetni"/>
        <w:rPr>
          <w:sz w:val="20"/>
        </w:rPr>
      </w:pPr>
    </w:p>
    <w:p w14:paraId="7F0F6462" w14:textId="77777777" w:rsidR="00EE37F9" w:rsidRDefault="00EE37F9">
      <w:pPr>
        <w:pStyle w:val="GvdeMetni"/>
        <w:rPr>
          <w:sz w:val="20"/>
        </w:rPr>
      </w:pPr>
    </w:p>
    <w:p w14:paraId="0C8B0156" w14:textId="77777777" w:rsidR="00EE37F9" w:rsidRDefault="00C7092E">
      <w:pPr>
        <w:pStyle w:val="GvdeMetni"/>
        <w:spacing w:before="140"/>
        <w:rPr>
          <w:sz w:val="20"/>
        </w:rPr>
      </w:pPr>
      <w:r>
        <w:rPr>
          <w:noProof/>
        </w:rPr>
        <mc:AlternateContent>
          <mc:Choice Requires="wps">
            <w:drawing>
              <wp:anchor distT="0" distB="0" distL="0" distR="0" simplePos="0" relativeHeight="487589888" behindDoc="1" locked="0" layoutInCell="1" allowOverlap="1" wp14:anchorId="58D93020" wp14:editId="1F1825F3">
                <wp:simplePos x="0" y="0"/>
                <wp:positionH relativeFrom="page">
                  <wp:posOffset>914704</wp:posOffset>
                </wp:positionH>
                <wp:positionV relativeFrom="paragraph">
                  <wp:posOffset>259692</wp:posOffset>
                </wp:positionV>
                <wp:extent cx="1829435"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02DE55" id="Graphic 7" o:spid="_x0000_s1026" style="position:absolute;margin-left:1in;margin-top:20.45pt;width:144.05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" path="m1829054,l,,,7619r1829054,l1829054,xe" fillcolor="black" stroked="f">
                <v:path arrowok="t"/>
                <w10:wrap type="topAndBottom" anchorx="page"/>
              </v:shape>
            </w:pict>
          </mc:Fallback>
        </mc:AlternateContent>
      </w:r>
    </w:p>
    <w:p w14:paraId="4BBEF750" w14:textId="77777777" w:rsidR="00EE37F9" w:rsidRDefault="00EE37F9">
      <w:pPr>
        <w:pStyle w:val="GvdeMetni"/>
        <w:spacing w:before="138"/>
        <w:rPr>
          <w:sz w:val="20"/>
        </w:rPr>
      </w:pPr>
    </w:p>
    <w:p w14:paraId="7822A54E" w14:textId="77777777" w:rsidR="00EE37F9" w:rsidRDefault="00C7092E">
      <w:pPr>
        <w:spacing w:before="1"/>
        <w:ind w:left="140"/>
        <w:rPr>
          <w:sz w:val="20"/>
        </w:rPr>
      </w:pPr>
      <w:bookmarkStart w:id="9" w:name="_bookmark9"/>
      <w:bookmarkEnd w:id="9"/>
      <w:r>
        <w:rPr>
          <w:sz w:val="20"/>
          <w:vertAlign w:val="superscript"/>
        </w:rPr>
        <w:t>10</w:t>
      </w:r>
      <w:r>
        <w:rPr>
          <w:sz w:val="20"/>
        </w:rPr>
        <w:t xml:space="preserve"> Communiqué on Prevention of Unfair Competition in Imports numbered 2009/39, published in the Official Gazette dated 19.02.2009 and numbered 27437.</w:t>
      </w:r>
    </w:p>
    <w:sectPr w:rsidR="00EE37F9">
      <w:pgSz w:w="11910" w:h="16850"/>
      <w:pgMar w:top="1720" w:right="1320" w:bottom="840" w:left="1300" w:header="0" w:footer="6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24321" w14:textId="77777777" w:rsidR="00C7092E" w:rsidRDefault="00C7092E">
      <w:r>
        <w:separator/>
      </w:r>
    </w:p>
  </w:endnote>
  <w:endnote w:type="continuationSeparator" w:id="0">
    <w:p w14:paraId="542DD495" w14:textId="77777777" w:rsidR="00C7092E" w:rsidRDefault="00C7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D0F4A" w14:textId="77777777" w:rsidR="00EE37F9" w:rsidRDefault="00C7092E">
    <w:pPr>
      <w:pStyle w:val="GvdeMetni"/>
      <w:spacing w:line="14" w:lineRule="auto"/>
      <w:rPr>
        <w:sz w:val="20"/>
      </w:rPr>
    </w:pPr>
    <w:r>
      <w:rPr>
        <w:noProof/>
      </w:rPr>
      <mc:AlternateContent>
        <mc:Choice Requires="wps">
          <w:drawing>
            <wp:anchor distT="0" distB="0" distL="0" distR="0" simplePos="0" relativeHeight="487502848" behindDoc="1" locked="0" layoutInCell="1" allowOverlap="1" wp14:anchorId="20B507C0" wp14:editId="5BF7245E">
              <wp:simplePos x="0" y="0"/>
              <wp:positionH relativeFrom="page">
                <wp:posOffset>5945885</wp:posOffset>
              </wp:positionH>
              <wp:positionV relativeFrom="page">
                <wp:posOffset>10140188</wp:posOffset>
              </wp:positionV>
              <wp:extent cx="53721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 cy="165735"/>
                      </a:xfrm>
                      <a:prstGeom prst="rect">
                        <a:avLst/>
                      </a:prstGeom>
                    </wps:spPr>
                    <wps:txbx>
                      <w:txbxContent>
                        <w:p w14:paraId="333B1F43" w14:textId="77777777" w:rsidR="00EE37F9" w:rsidRDefault="00C7092E">
                          <w:pPr>
                            <w:spacing w:line="245" w:lineRule="exact"/>
                            <w:ind w:left="20"/>
                          </w:pPr>
                          <w:r>
                            <w:rPr>
                              <w:color w:val="5B9BD4"/>
                            </w:rPr>
                            <w:t>Page |</w:t>
                          </w:r>
                          <w:r>
                            <w:rPr>
                              <w:color w:val="5B9BD4"/>
                              <w:spacing w:val="-3"/>
                            </w:rPr>
                            <w:t xml:space="preserve"> </w:t>
                          </w:r>
                          <w:r>
                            <w:rPr>
                              <w:color w:val="5B9BD4"/>
                              <w:spacing w:val="-10"/>
                            </w:rPr>
                            <w:fldChar w:fldCharType="begin"/>
                          </w:r>
                          <w:r>
                            <w:rPr>
                              <w:color w:val="5B9BD4"/>
                              <w:spacing w:val="-10"/>
                            </w:rPr>
                            <w:instrText xml:space="preserve"> PAGE </w:instrText>
                          </w:r>
                          <w:r>
                            <w:rPr>
                              <w:color w:val="5B9BD4"/>
                              <w:spacing w:val="-10"/>
                            </w:rPr>
                            <w:fldChar w:fldCharType="separate"/>
                          </w:r>
                          <w:r>
                            <w:rPr>
                              <w:color w:val="5B9BD4"/>
                              <w:spacing w:val="-10"/>
                            </w:rPr>
                            <w:t>2</w:t>
                          </w:r>
                          <w:r>
                            <w:rPr>
                              <w:color w:val="5B9BD4"/>
                              <w:spacing w:val="-10"/>
                            </w:rPr>
                            <w:fldChar w:fldCharType="end"/>
                          </w:r>
                        </w:p>
                      </w:txbxContent>
                    </wps:txbx>
                    <wps:bodyPr wrap="square" lIns="0" tIns="0" rIns="0" bIns="0" rtlCol="0">
                      <a:noAutofit/>
                    </wps:bodyPr>
                  </wps:wsp>
                </a:graphicData>
              </a:graphic>
            </wp:anchor>
          </w:drawing>
        </mc:Choice>
        <mc:Fallback>
          <w:pict>
            <v:shapetype w14:anchorId="20B507C0" id="_x0000_t202" coordsize="21600,21600" o:spt="202" path="m,l,21600r21600,l21600,xe">
              <v:stroke joinstyle="miter"/>
              <v:path gradientshapeok="t" o:connecttype="rect"/>
            </v:shapetype>
            <v:shape id="Textbox 4" o:spid="_x0000_s1026" type="#_x0000_t202" style="position:absolute;margin-left:468.2pt;margin-top:798.45pt;width:42.3pt;height:13.05pt;z-index:-1581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" filled="f" stroked="f">
              <v:textbox inset="0,0,0,0">
                <w:txbxContent>
                  <w:p w14:paraId="333B1F43" w14:textId="77777777" w:rsidR="00EE37F9" w:rsidRDefault="00C7092E">
                    <w:pPr>
                      <w:spacing w:line="245" w:lineRule="exact"/>
                      <w:ind w:left="20"/>
                    </w:pPr>
                    <w:r>
                      <w:rPr>
                        <w:color w:val="5B9BD4"/>
                      </w:rPr>
                      <w:t>Page |</w:t>
                    </w:r>
                    <w:r>
                      <w:rPr>
                        <w:color w:val="5B9BD4"/>
                        <w:spacing w:val="-3"/>
                      </w:rPr>
                      <w:t xml:space="preserve"> </w:t>
                    </w:r>
                    <w:r>
                      <w:rPr>
                        <w:color w:val="5B9BD4"/>
                        <w:spacing w:val="-10"/>
                      </w:rPr>
                      <w:fldChar w:fldCharType="begin"/>
                    </w:r>
                    <w:r>
                      <w:rPr>
                        <w:color w:val="5B9BD4"/>
                        <w:spacing w:val="-10"/>
                      </w:rPr>
                      <w:instrText xml:space="preserve"> PAGE </w:instrText>
                    </w:r>
                    <w:r>
                      <w:rPr>
                        <w:color w:val="5B9BD4"/>
                        <w:spacing w:val="-10"/>
                      </w:rPr>
                      <w:fldChar w:fldCharType="separate"/>
                    </w:r>
                    <w:r>
                      <w:rPr>
                        <w:color w:val="5B9BD4"/>
                        <w:spacing w:val="-10"/>
                      </w:rPr>
                      <w:t>2</w:t>
                    </w:r>
                    <w:r>
                      <w:rPr>
                        <w:color w:val="5B9BD4"/>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24241" w14:textId="77777777" w:rsidR="00C7092E" w:rsidRDefault="00C7092E">
      <w:r>
        <w:separator/>
      </w:r>
    </w:p>
  </w:footnote>
  <w:footnote w:type="continuationSeparator" w:id="0">
    <w:p w14:paraId="783CAAE6" w14:textId="77777777" w:rsidR="00C7092E" w:rsidRDefault="00C709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7F9"/>
    <w:rsid w:val="000754D2"/>
    <w:rsid w:val="00092DDB"/>
    <w:rsid w:val="003E7083"/>
    <w:rsid w:val="00526F97"/>
    <w:rsid w:val="00653FD4"/>
    <w:rsid w:val="00C7092E"/>
    <w:rsid w:val="00EE3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2756F"/>
  <w15:docId w15:val="{ECC531EB-545F-4758-A5D2-67122869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Balk1">
    <w:name w:val="heading 1"/>
    <w:basedOn w:val="Normal"/>
    <w:uiPriority w:val="9"/>
    <w:qFormat/>
    <w:pPr>
      <w:spacing w:before="240"/>
      <w:ind w:left="140"/>
      <w:outlineLvl w:val="0"/>
    </w:pPr>
    <w:rPr>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sz w:val="24"/>
      <w:szCs w:val="24"/>
    </w:rPr>
  </w:style>
  <w:style w:type="paragraph" w:styleId="KonuBal">
    <w:name w:val="Title"/>
    <w:basedOn w:val="Normal"/>
    <w:uiPriority w:val="10"/>
    <w:qFormat/>
    <w:pPr>
      <w:ind w:left="2584" w:hanging="2048"/>
    </w:pPr>
    <w:rPr>
      <w:rFonts w:ascii="Cambria" w:eastAsia="Cambria" w:hAnsi="Cambria" w:cs="Cambria"/>
      <w:sz w:val="36"/>
      <w:szCs w:val="36"/>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nfo@actec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1811</Words>
  <Characters>10326</Characters>
  <Application>Microsoft Office Word</Application>
  <DocSecurity>0</DocSecurity>
  <Lines>86</Lines>
  <Paragraphs>24</Paragraphs>
  <ScaleCrop>false</ScaleCrop>
  <Company/>
  <LinksUpToDate>false</LinksUpToDate>
  <CharactersWithSpaces>12113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Alper Karafil - ACTECON</dc:creator>
  <cp:lastModifiedBy>Serenay Kivik - ACTECON</cp:lastModifiedBy>
  <cp:revision>2</cp:revision>
  <dcterms:created xsi:type="dcterms:W3CDTF">2024-12-16T11:01:00Z</dcterms:created>
  <dcterms:modified xsi:type="dcterms:W3CDTF">2024-12-16T11:01:00Z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2024-11-29T00:00:00Z</vt:filetime>
  </property>
  <property fmtid="{D5CDD505-2E9C-101B-9397-08002B2CF9AE}" pid="3" name="Creator">
    <vt:lpwstr>Microsoft® Word 2021</vt:lpwstr>
  </property>
  <property fmtid="{D5CDD505-2E9C-101B-9397-08002B2CF9AE}" pid="4" name="LastSaved">
    <vt:filetime>2024-12-15T00:00:00Z</vt:filetime>
  </property>
  <property fmtid="{D5CDD505-2E9C-101B-9397-08002B2CF9AE}" pid="5" name="Producer">
    <vt:lpwstr>Microsoft® Word 2021</vt:lpwstr>
  </property>
  <property fmtid="{D5CDD505-2E9C-101B-9397-08002B2CF9AE}" pid="6" name="eDOCS AutoSave">
    <vt:lpwstr/>
  </property>
</Properties>
</file>